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52AB7A" w14:textId="1CB3D80C" w:rsidR="003049C5" w:rsidRDefault="005B5028">
      <w:r>
        <w:t>Министерство сельского хозяйства и продовольствия Хабаровского края информирует Вас о том, что в соответствии со статьей 19.1 Закона РФ от 14.05.1993 № 4979-1 «О ветеринарии» (в ред. Федерального закона от 28.06.2022 № 221-ФЗ) на территории Российской Федерации осуществляется обязательное маркирование и учет сельскохозяйственных животных.</w:t>
      </w:r>
    </w:p>
    <w:p w14:paraId="3A7409D2" w14:textId="6E7B2F10" w:rsidR="005B5028" w:rsidRDefault="005B5028">
      <w:r>
        <w:t>В развитие указанной нормы приняты следующие нормативные правовые акты:</w:t>
      </w:r>
    </w:p>
    <w:p w14:paraId="06C960F7" w14:textId="7F92F9D8" w:rsidR="005B5028" w:rsidRDefault="005B5028">
      <w:r>
        <w:tab/>
        <w:t>- Постановление Правительства РФ от 05.04.2023 № 550, утвердившее перечень видов животных, подлежащих индивидуальному или групповому маркированию и учету, а также сроки их осуществления;</w:t>
      </w:r>
    </w:p>
    <w:p w14:paraId="5D74D2C2" w14:textId="21AE98AD" w:rsidR="005B5028" w:rsidRDefault="005B5028">
      <w:r>
        <w:tab/>
        <w:t>- Приказ Минсельхоза России от 03.11.2023 № 832 (в ред. Приказа от 10.04.2025 № 236), которым утверждены Ветеринарные правила маркирования и учета животных.</w:t>
      </w:r>
    </w:p>
    <w:p w14:paraId="4223E5F6" w14:textId="6909D924" w:rsidR="005B5028" w:rsidRDefault="008A3DDC">
      <w:r>
        <w:tab/>
        <w:t>С 1 марта 2024 года данные требования стали обязательными для владельцев всех видов продуктивных животных, включая птицу. Особое внимание просим обратить на ограниченные сроки постановки на учет</w:t>
      </w:r>
      <w:r w:rsidR="00C82043">
        <w:t xml:space="preserve"> домашней птицы: птица подлежит маркированию не позднее 7 календарных дней после дня ее выведения вне зависимости от осуществляемого вида маркирования (группового или индивидуального). При ввозе немаркированной птицы на территорию муниципалитета – не позднее 7 календарных дней со дня ввоза.</w:t>
      </w:r>
    </w:p>
    <w:p w14:paraId="39DC1903" w14:textId="4ABF77DC" w:rsidR="00C82043" w:rsidRDefault="00C82043">
      <w:r>
        <w:tab/>
        <w:t xml:space="preserve">Для группового маркирования птицы используется табло, закрепляемое на внешней стенке помещения с уникальным номером группы (УНСМ) и </w:t>
      </w:r>
      <w:r>
        <w:rPr>
          <w:lang w:val="en-US"/>
        </w:rPr>
        <w:t>QR</w:t>
      </w:r>
      <w:r>
        <w:t>-кодом, доступным для считывания с расстояния не менее 1,5 м. Для индивидуального маркирования применяются кольца, крыло-метки или микрочипы.</w:t>
      </w:r>
    </w:p>
    <w:p w14:paraId="38C0DD11" w14:textId="182D1860" w:rsidR="00C82043" w:rsidRPr="00C82043" w:rsidRDefault="00C82043">
      <w:r>
        <w:tab/>
        <w:t>Отсутствие маркировки влечёт за собой</w:t>
      </w:r>
      <w:r w:rsidR="001A317A">
        <w:t xml:space="preserve"> невозможность оформления ветеринарных сопроводительных документов при реализации продукции животноводства, проблемы с получением государственной поддержки, а также риски привлечения к административной ответственности по ст. 10.6 КоАП РФ.</w:t>
      </w:r>
    </w:p>
    <w:p w14:paraId="723FD889" w14:textId="77777777" w:rsidR="005B5028" w:rsidRDefault="005B5028"/>
    <w:sectPr w:rsidR="005B50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3F2D"/>
    <w:rsid w:val="001A317A"/>
    <w:rsid w:val="003049C5"/>
    <w:rsid w:val="005B5028"/>
    <w:rsid w:val="00883F2D"/>
    <w:rsid w:val="008A3DDC"/>
    <w:rsid w:val="00C82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2F7B6C"/>
  <w15:chartTrackingRefBased/>
  <w15:docId w15:val="{BFAF79F6-0869-4027-9EDF-2387E2BCF1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324</TotalTime>
  <Pages>1</Pages>
  <Words>268</Words>
  <Characters>1533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2026-08-05T22:47:00Z</dcterms:created>
  <dcterms:modified xsi:type="dcterms:W3CDTF">2026-08-06T04:11:00Z</dcterms:modified>
</cp:coreProperties>
</file>