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b/>
          <w:color w:val="000000"/>
          <w:sz w:val="18"/>
          <w:rtl w:val="off"/>
          <w:lang w:val="en-US"/>
        </w:rPr>
        <w:t>10.07.2020 № 21-73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b/>
          <w:color w:val="000000"/>
          <w:sz w:val="18"/>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b/>
          <w:color w:val="000000"/>
          <w:sz w:val="18"/>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22.05.2020 № 19-66 «Об</w:t>
      </w:r>
      <w:r>
        <w:rPr>
          <w:rFonts w:ascii="times new roman"/>
          <w:b/>
          <w:color w:val="000000"/>
          <w:sz w:val="18"/>
          <w:rtl w:val="off"/>
          <w:lang w:val="en-US"/>
        </w:rPr>
        <w:t xml:space="preserve"> </w:t>
      </w:r>
      <w:r>
        <w:rPr>
          <w:rFonts w:ascii="times"/>
          <w:b/>
          <w:color w:val="000000"/>
          <w:sz w:val="18"/>
          <w:rtl w:val="off"/>
          <w:lang w:val="en-US"/>
        </w:rPr>
        <w:t>утверждении</w:t>
      </w:r>
      <w:r>
        <w:rPr>
          <w:rFonts w:ascii="times new roman"/>
          <w:b/>
          <w:color w:val="000000"/>
          <w:sz w:val="18"/>
          <w:rtl w:val="off"/>
          <w:lang w:val="en-US"/>
        </w:rPr>
        <w:t xml:space="preserve"> П</w:t>
      </w:r>
      <w:r>
        <w:rPr>
          <w:rFonts w:ascii="times"/>
          <w:b/>
          <w:color w:val="000000"/>
          <w:sz w:val="18"/>
          <w:rtl w:val="off"/>
          <w:lang w:val="en-US"/>
        </w:rPr>
        <w:t>равил</w:t>
      </w:r>
      <w:r>
        <w:rPr>
          <w:rFonts w:ascii="times new roman"/>
          <w:b/>
          <w:color w:val="000000"/>
          <w:sz w:val="18"/>
          <w:rtl w:val="off"/>
          <w:lang w:val="en-US"/>
        </w:rPr>
        <w:t xml:space="preserve"> </w:t>
      </w:r>
      <w:r>
        <w:rPr>
          <w:rFonts w:ascii="times"/>
          <w:b/>
          <w:color w:val="000000"/>
          <w:sz w:val="18"/>
          <w:rtl w:val="off"/>
          <w:lang w:val="en-US"/>
        </w:rPr>
        <w:t>благоустройства</w:t>
      </w:r>
      <w:r>
        <w:rPr>
          <w:rFonts w:ascii="times new roman"/>
          <w:b/>
          <w:color w:val="000000"/>
          <w:sz w:val="18"/>
          <w:rtl w:val="off"/>
          <w:lang w:val="en-US"/>
        </w:rPr>
        <w:t xml:space="preserve"> </w:t>
      </w:r>
      <w:r>
        <w:rPr>
          <w:rFonts w:ascii="times"/>
          <w:b/>
          <w:color w:val="000000"/>
          <w:sz w:val="18"/>
          <w:rtl w:val="off"/>
          <w:lang w:val="en-US"/>
        </w:rPr>
        <w:t>территории</w:t>
      </w:r>
      <w:r>
        <w:rPr>
          <w:rFonts w:ascii="times new roman"/>
          <w:b/>
          <w:color w:val="000000"/>
          <w:sz w:val="18"/>
          <w:rtl w:val="off"/>
          <w:lang w:val="en-US"/>
        </w:rPr>
        <w:t xml:space="preserve"> </w:t>
      </w:r>
      <w:r>
        <w:rPr>
          <w:rFonts w:ascii="times"/>
          <w:b/>
          <w:color w:val="000000"/>
          <w:sz w:val="18"/>
          <w:rtl w:val="off"/>
          <w:lang w:val="en-US"/>
        </w:rPr>
        <w:t>Мирненского</w:t>
      </w:r>
      <w:r>
        <w:rPr>
          <w:rFonts w:ascii="times new roman"/>
          <w:b/>
          <w:color w:val="000000"/>
          <w:sz w:val="18"/>
          <w:rtl w:val="off"/>
          <w:lang w:val="en-US"/>
        </w:rPr>
        <w:t xml:space="preserve"> </w:t>
      </w:r>
      <w:r>
        <w:rPr>
          <w:rFonts w:ascii="times"/>
          <w:b/>
          <w:color w:val="000000"/>
          <w:sz w:val="18"/>
          <w:rtl w:val="off"/>
          <w:lang w:val="en-US"/>
        </w:rPr>
        <w:t>сельского</w:t>
      </w:r>
      <w:r>
        <w:rPr>
          <w:rFonts w:ascii="times new roman"/>
          <w:b/>
          <w:color w:val="000000"/>
          <w:sz w:val="18"/>
          <w:rtl w:val="off"/>
          <w:lang w:val="en-US"/>
        </w:rPr>
        <w:t xml:space="preserve"> </w:t>
      </w:r>
      <w:r>
        <w:rPr>
          <w:rFonts w:ascii="times"/>
          <w:b/>
          <w:color w:val="000000"/>
          <w:sz w:val="18"/>
          <w:rtl w:val="off"/>
          <w:lang w:val="en-US"/>
        </w:rPr>
        <w:t>поселения</w:t>
      </w:r>
      <w:r>
        <w:rPr>
          <w:rFonts w:ascii="times new roman"/>
          <w:b/>
          <w:color w:val="000000"/>
          <w:sz w:val="18"/>
          <w:rtl w:val="off"/>
          <w:lang w:val="en-US"/>
        </w:rPr>
        <w:t xml:space="preserve"> </w:t>
      </w:r>
      <w:r>
        <w:rPr>
          <w:rFonts w:ascii="times"/>
          <w:b/>
          <w:color w:val="000000"/>
          <w:sz w:val="18"/>
          <w:rtl w:val="off"/>
          <w:lang w:val="en-US"/>
        </w:rPr>
        <w:t>Хабаровского</w:t>
      </w:r>
      <w:r>
        <w:rPr>
          <w:rFonts w:ascii="times new roman"/>
          <w:b/>
          <w:color w:val="000000"/>
          <w:sz w:val="18"/>
          <w:rtl w:val="off"/>
          <w:lang w:val="en-US"/>
        </w:rPr>
        <w:t xml:space="preserve"> </w:t>
      </w:r>
      <w:r>
        <w:rPr>
          <w:rFonts w:ascii="times"/>
          <w:b/>
          <w:color w:val="000000"/>
          <w:sz w:val="18"/>
          <w:rtl w:val="off"/>
          <w:lang w:val="en-US"/>
        </w:rPr>
        <w:t>муниципального</w:t>
      </w:r>
      <w:r>
        <w:rPr>
          <w:rFonts w:ascii="times new roman"/>
          <w:b/>
          <w:color w:val="000000"/>
          <w:sz w:val="18"/>
          <w:rtl w:val="off"/>
          <w:lang w:val="en-US"/>
        </w:rPr>
        <w:t xml:space="preserve"> </w:t>
      </w:r>
      <w:r>
        <w:rPr>
          <w:rFonts w:ascii="times"/>
          <w:b/>
          <w:color w:val="000000"/>
          <w:sz w:val="18"/>
          <w:rtl w:val="off"/>
          <w:lang w:val="en-US"/>
        </w:rPr>
        <w:t>района</w:t>
      </w:r>
      <w:r>
        <w:rPr>
          <w:rFonts w:ascii="times new roman"/>
          <w:b/>
          <w:color w:val="000000"/>
          <w:sz w:val="18"/>
          <w:rtl w:val="off"/>
          <w:lang w:val="en-US"/>
        </w:rPr>
        <w:t xml:space="preserve"> </w:t>
      </w:r>
      <w:r>
        <w:rPr>
          <w:rFonts w:ascii="times"/>
          <w:b/>
          <w:color w:val="000000"/>
          <w:sz w:val="18"/>
          <w:rtl w:val="off"/>
          <w:lang w:val="en-US"/>
        </w:rPr>
        <w:t>Хабаровского</w:t>
      </w:r>
      <w:r>
        <w:rPr>
          <w:rFonts w:ascii="times new roman"/>
          <w:b/>
          <w:color w:val="000000"/>
          <w:sz w:val="18"/>
          <w:rtl w:val="off"/>
          <w:lang w:val="en-US"/>
        </w:rPr>
        <w:t xml:space="preserve"> </w:t>
      </w:r>
      <w:r>
        <w:rPr>
          <w:rFonts w:ascii="times"/>
          <w:b/>
          <w:color w:val="000000"/>
          <w:sz w:val="18"/>
          <w:rtl w:val="off"/>
          <w:lang w:val="en-US"/>
        </w:rPr>
        <w:t>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соответствии с</w:t>
      </w:r>
      <w:r>
        <w:rPr>
          <w:rFonts w:ascii="times"/>
          <w:color w:val="000000"/>
          <w:sz w:val="18"/>
          <w:rtl w:val="off"/>
          <w:lang w:val="en-US"/>
        </w:rPr>
        <w:t xml:space="preserve"> методическими рекомендациями, утвержденными приказом министерства строительства и жилищно-коммунального хозяйства Российской Федерации от 13.04.2017 № 711/пр «</w:t>
      </w:r>
      <w:r>
        <w:rPr>
          <w:rFonts w:ascii="times new roman"/>
          <w:color w:val="000000"/>
          <w:sz w:val="18"/>
          <w:rtl w:val="off"/>
          <w:lang w:val="en-US"/>
        </w:rPr>
        <w:t>Об утверждении методических рекомендаций для подготовки Правил благоустройства территорий поселений, городских округов, внутригородских районов», рекомендациями управления сельскохозяйственного производства и охраны окружающей среды,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b/>
          <w:color w:val="000000"/>
          <w:sz w:val="18"/>
          <w:rtl w:val="off"/>
          <w:lang w:val="en-US"/>
        </w:rPr>
        <w:t xml:space="preserve">РЕШИЛ: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Внести в Правила благоустройства территории Мирненского сельского поселения Хабаровского муниципального района Хабаровского края, утвержденные решением Совета депутатов Мирненского сельского поселения Хабаровского муниципального района Хабаровского края от 22.05.2020 № 19-66,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Дополнить пункт 6.1.9. подпунктами 7 – 14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складирование и хранение строительных и других материалов, оборудования, продукции, цистерн, дров, угля, сена, запасов товаров, грунта, навоза, удобрений на земельных участках вне территорий организаций, строительных площадок, магазинов, павильонов, киосков, частных домовладений и в иных запрещенных для этих целей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8) сброс и размещение отходов производства и потребления, слив жидких коммунальных отходов в неустановленных для этих целей местах;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 размещение ТКО в местах сбора и накопления ТКО и крупногабаритных отходов на специальных площадках для складирования крупногабаритных отходов без заключения договора с Региональным оператором;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10) самостоятельное обезвреживание отходов производства и потребления, в том числе путем сжигания, в местах, не отведенных для этих целей, размещение в грунте (захоронение) отходов производства и потребления, в том числе при проведении строительных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складировать в контейнеры для ТКО отходы 1-го и 2-го классов опасности, ртутьсодержащие отходы, батареи и аккумуляторы, медицинские отходы; а также иные отходы, которые могут причинить вред жизни и здоровью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12) переполнение выгребных ям, туалетов (биотуалетов), автономных систем водоотведения;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13) производить слив и откачку воды из траншей, котлованов, колодцев на озелененные территории, тротуары, дороги, дворовые территории и другие не установленные для этих целей места, а при производстве аварийных работ разрешается только по специальным отводам или шлангам в близлежащие колодцы и другие водосбросы по согласованию с владельцами коммуникаций и с возмещением затрат на работы по водоотведению сброшенных стоков;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14) Граждане, а также индивидуальные предприниматели и юридические лица, допустившие нарушения, указанные в пункте 1 настоящих Правил, обязаны принять меры к устранению допущенных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случае невозможности установления виновных лиц в организации стихийных свалок обязанность по ликвидации этих свалок несут лица, осуществляющие содержание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1.2. Изложить пункт 6.8.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"6.8. Содержание домашнего скота и птицы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6.8.1.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Сельскохозяйственные животные подлежат обязательной регистрации в участковых ветеринарных учреждениях и похозяйственной книгах администраций поселений. Вновь приобретенные животные должны быть зарегистрированы в пятидневный срок. Крупный рогатый скот подлежит обязательному</w:t>
      </w:r>
      <w:r>
        <w:rPr>
          <w:rFonts w:ascii="times new roman"/>
          <w:color w:val="000000"/>
          <w:sz w:val="18"/>
          <w:rtl w:val="off"/>
          <w:lang w:val="en-US"/>
        </w:rPr>
        <w:t xml:space="preserve"> </w:t>
      </w:r>
      <w:r>
        <w:rPr>
          <w:rFonts w:ascii="times"/>
          <w:color w:val="000000"/>
          <w:sz w:val="18"/>
          <w:rtl w:val="off"/>
          <w:lang w:val="en-US"/>
        </w:rPr>
        <w:t>чипированию и биркированию д</w:t>
      </w:r>
      <w:r>
        <w:rPr>
          <w:rFonts w:ascii="times new roman"/>
          <w:color w:val="000000"/>
          <w:sz w:val="18"/>
          <w:rtl w:val="off"/>
          <w:lang w:val="en-US"/>
        </w:rPr>
        <w:t>ля определения принадлежности животного.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Продажа, покупка сельскохозяйственных животных осуществляется только при наличии полученной справки ветеринарной службы района, в которой указаны все необходимые исследования и вакцинации соответствующие данному виду сельскохозяйственного животного.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Владельцы крупного и мелкого рогатого скота, свиней, лошадей должны содержать животных в границах территории, отведённой для ведения личного подсобного хозяйства домашнего хозяйства (усадьба, двор), в соответствии с</w:t>
      </w:r>
      <w:r>
        <w:rPr>
          <w:rFonts w:ascii="times"/>
          <w:color w:val="000000"/>
          <w:sz w:val="18"/>
          <w:rtl w:val="off"/>
          <w:lang w:val="en-US"/>
        </w:rPr>
        <w:t xml:space="preserve"> </w:t>
      </w:r>
      <w:r>
        <w:rPr>
          <w:rFonts w:ascii="times"/>
          <w:color w:val="000000"/>
          <w:sz w:val="18"/>
          <w:u w:val="single"/>
          <w:rtl w:val="off"/>
          <w:lang w:val="en-US"/>
        </w:rPr>
        <w:t>санитарными нормами</w:t>
      </w:r>
      <w:r>
        <w:rPr>
          <w:rFonts w:ascii="times"/>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Выпас животных производить в специально отведённых местах лично или нанимать для надзора рабочих – пастухов. Обязанности организации выпаса, наём пастуха лежат на</w:t>
      </w:r>
      <w:r>
        <w:rPr>
          <w:rFonts w:ascii="times"/>
          <w:color w:val="000000"/>
          <w:sz w:val="18"/>
          <w:rtl w:val="off"/>
          <w:lang w:val="en-US"/>
        </w:rPr>
        <w:t xml:space="preserve"> </w:t>
      </w:r>
      <w:r>
        <w:rPr>
          <w:rFonts w:ascii="times"/>
          <w:color w:val="000000"/>
          <w:sz w:val="18"/>
          <w:u w:val="single"/>
          <w:rtl w:val="off"/>
          <w:lang w:val="en-US"/>
        </w:rPr>
        <w:t>владельцах</w:t>
      </w:r>
      <w:r>
        <w:rPr>
          <w:rFonts w:ascii="times"/>
          <w:color w:val="000000"/>
          <w:sz w:val="18"/>
          <w:rtl w:val="off"/>
          <w:lang w:val="en-US"/>
        </w:rPr>
        <w:t xml:space="preserve"> </w:t>
      </w:r>
      <w:r>
        <w:rPr>
          <w:rFonts w:ascii="times"/>
          <w:color w:val="000000"/>
          <w:sz w:val="18"/>
          <w:rtl w:val="off"/>
          <w:lang w:val="en-US"/>
        </w:rPr>
        <w:t>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Выпас животных осуществляется на привязи при индивидуальном содержании, либо в общем стаде под присмотром пастуха.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Владелец животного лично сопровождает скот до места сбора общего стада.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В целях обеспечения сохранности зеленых насаждений и поддержания санитарного состояния территории и эстетического вида поселения, обеспечения безопасного движения автотранспорта и сохранности скота запрещается выпас скота вне специально отведенных для этих целей территорий, установленных администрацией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8. Владелец, допустивший неорганизованный выпас скота, подвергается административному</w:t>
      </w:r>
      <w:r>
        <w:rPr>
          <w:rFonts w:ascii="times"/>
          <w:color w:val="000000"/>
          <w:sz w:val="18"/>
          <w:rtl w:val="off"/>
          <w:lang w:val="en-US"/>
        </w:rPr>
        <w:t xml:space="preserve"> </w:t>
      </w:r>
      <w:r>
        <w:rPr>
          <w:rFonts w:ascii="times"/>
          <w:color w:val="000000"/>
          <w:sz w:val="18"/>
          <w:u w:val="single"/>
          <w:rtl w:val="off"/>
          <w:lang w:val="en-US"/>
        </w:rPr>
        <w:t>взысканию</w:t>
      </w:r>
      <w:r>
        <w:rPr>
          <w:rFonts w:ascii="times"/>
          <w:color w:val="000000"/>
          <w:sz w:val="18"/>
          <w:rtl w:val="off"/>
          <w:lang w:val="en-US"/>
        </w:rPr>
        <w:t xml:space="preserve"> </w:t>
      </w:r>
      <w:r>
        <w:rPr>
          <w:rFonts w:ascii="times"/>
          <w:color w:val="000000"/>
          <w:sz w:val="18"/>
          <w:rtl w:val="off"/>
          <w:lang w:val="en-US"/>
        </w:rPr>
        <w:t>за нарушение правил благоустройства, территории сельского поселения, а также возмещает ущерб, нанесённый потравой зелёных насаждений, и иной ущерб сельскому поселению и третьим лицам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6.8.2. Порядок и условия содержания сельскохозяйственных животных и домашней птицы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Обязательным условием содержания животных в личных подсобных и фермерских хозяйствах является соблюдение санитарно-гигиенических, ветеринарно-санитарных правил и норм, общепринятых принципов гуманного отношения к животным, а также недопущение физического, санитарного и психологического воздействия на человека со стороны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В целях предупреждения болезней владельцы животных обязаны обеспечить оптимальные условия содержания животных и чистоту на всех животноводческих объектах.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Строительство хозяйственных построек для содержания и разведения животных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Размер поголовья скота и птицы определяется с учетом действующих санитарных, санитарно-гигиенических ветеринарных норм и правил. 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2.2.1/2.1.1.1200-03 «Санитарно-защитные зоны и санитарная классификация предприятий, сооружений и иных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черту населенного пункта городского и сельскохозяйственного поселения с регистрацией владельца личного подсобного хозяйства в качестве индивидуального предпринимателя или крестьянского (фермерского) хозяйства.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Максимальный размер земельного участка, предоставляемого гражданам в черте и за чертой населенного пункта для ведения личного подсобного хозяйства не должен превышать 0,5 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8. При превышении, установленного, действующим законодательством максимального размера общей площади земельных участков для ведения личного подсобного хозяйства, гражданам необходимо в течение 1 года оформить государственную регистрацию в качестве индивидуального предпринимателя или зарегистрировать КФХ.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 Складирование кормов, навоза и компоста разрешается только в границах отведенного землепользователю участка с обязательным выполнением противопожарных, ветеринарных и эстетических норм и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10. Складирование грубых кормов производить в соответствии с требованиями норм противопожарной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 с обязательным выполнением противопожарных, ветеринарных и эстетических норм и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12. В случае невозможности использования на приусадебном участке всего объема навоза и помета, владелец хозяйства обязан обеспечить его вывоз в специально отведенное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13. Дезинсекция и дератизация животных осуществляется их владельцами в соответствии с санитарно-гигиеническими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14. При гибели животного труп, после ветеринарного осмотра сдается владельцем на утилизацию в специализированную организацию. Запрещается выбрасывать труп павшего животного. Регистрационное удостоверение животного отдается владельцем в ветеринарное учреждение, где оно было зарегистрировано;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6.8.3.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Допускать появление животных в общественных местах, скверах, парках, на газонах, детских площадках, вблизи пешеходных дорожек и проезжей части улицы,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Содержать в неудовлетворительном ветеринарно-санитарном состоянии помещения для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 Купать животных в водоемах и местах массового пребывания и купания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 Загрязнять территорию населенного пункта экскрементами. Если в черте населенного пункта животные оставили экскременты, они должны быть убраны владельцем животного (пастухом);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5. Складировать навоз животных вблизи жилых помещений, на улицах;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 Запрещается без согласования с ветеринарной службой: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продажа больных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продажа заподозренных в заболевании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реализация мяса, молока и молочной продукции от вышеперечисленных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7. Запрещается выпас коров и коз у дорог и автомагистралей, где почва и растительность загрязнены;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8. Запрещается прогон скота вблизи детских садов, лечебных учреждений, школ.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6.8.4. Правила содержания домашней птицы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1. Разрешается содержать птиц (кур, цесарок, индеек, павлинов, фазанов, уток, гусей, голубей) в птичниках, вольерах, выгулах, соляриях;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Птица, находящаяся на улицах населенных пунктов вне территории домовладений без присмотра, подлежит отлову.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6.8.5. Обязанности владельцев птиц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1. Владелец птиц обязан содержать их в соответствии с зоотехническими нормами и ветеринарно-санитарными требованиями;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2. Предоставлять по требованию ветеринарных специалистов птиц для осмотра, диагностических исследований, предохранительных прививок и лечебно-профилактических обработок;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3.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 не заниматься самолечением;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4. Обеспечивать водой и кормами, безопасными для здоровья животных и окружающей природной среды, соответствующими ветеринарно-санитарным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Выпас водоплавающей птицы производится только на естественных водоемах либо на искусственно созданных в пределах личного земельного участка запрудах. Использование ливневых канализаций и создание искусственных запруд, загонов за пределами участка запрещено.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Выгул водоплавающей птицы до естественных водоемов и обратно осуществляется под контролем выпасающего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6.8.6.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Выпускать домашнюю птицу на улицы, территорию палисадников, парков, скверов, газонов и детских площадок.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6.8.7. Убой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Убой крупных животных (лошадей, крупного и мелкого рогатого скота, свиней) должен производиться на сертифицированных бойнях (цехах), на которых осуществляется государственный ветеринарный контроль продуктов убоя, утилизации биологических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Признать утратившим силу решение Совета депутатов Мирненского сельского поселения Хабаровского муниципального района Хабаровского края от 18.06.2020 № 20-67 "О внесении изменений в решение Совета депутатов Мирненского сельского поселения Хабаровского муниципального района Хабаровского края от 22.05.2020 № 19-66 "Об утверждении Правил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Председатель Совета депутатов</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w:t>
      </w:r>
      <w:r>
        <w:rPr>
          <w:rFonts w:ascii="times new roman"/>
          <w:color w:val="000000"/>
          <w:sz w:val="18"/>
          <w:rtl w:val="off"/>
          <w:lang w:val="en-US"/>
        </w:rPr>
        <w:t xml:space="preserve"> </w:t>
      </w:r>
      <w:r>
        <w:rPr>
          <w:rFonts w:ascii="times"/>
          <w:color w:val="000000"/>
          <w:sz w:val="18"/>
          <w:rtl w:val="off"/>
          <w:lang w:val="en-US"/>
        </w:rPr>
        <w:t>сельского</w:t>
      </w:r>
      <w:r>
        <w:rPr>
          <w:rFonts w:ascii="times new roman"/>
          <w:color w:val="000000"/>
          <w:sz w:val="18"/>
          <w:rtl w:val="off"/>
          <w:lang w:val="en-US"/>
        </w:rPr>
        <w:t xml:space="preserve"> </w:t>
      </w:r>
      <w:r>
        <w:rPr>
          <w:rFonts w:ascii="times"/>
          <w:color w:val="000000"/>
          <w:sz w:val="18"/>
          <w:rtl w:val="off"/>
          <w:lang w:val="en-US"/>
        </w:rPr>
        <w:t>поселения</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