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СОВЕТ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01.02.2022 № 43-139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Об утверждении Методики расчета объема иных межбюджетных трансфертов, передаваемых из бюджета Мирненского сельского поселения Хабаровского муниципального района Хабаровского края в бюджет Хабаровского муниципального района Хабаровского края на осуществление полномочий контрольно-счетных органов поселения по внешнему муниципальному финансовому контролю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Руководствуясь ст. 142.5 Бюджетного кодекса Российской Федерации, Уставом Мирненского сельского поселения Хабаровского муниципального района Хабаровского края, Совет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 Утвердить Методику расчета объема иных межбюджетных трансфертов, передаваемых из бюджета Мирненского сельского поселения Хабаровского муниципального района Хабаровского края в бюджет Хабаровского муниципального района Хабаровского края на осуществление полномочий контрольно-счетных органов поселения по внешнему муниципальному финансовому контролю.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 Опубликовать настоящее решение в Информационном бюллетене Мирненского сельского поселения Хабаровского муниципального района Хабаровского края и на официальном сайте администрации..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3. Решение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"/>
          <w:color w:val="000000"/>
          <w:sz w:val="21"/>
          <w:rtl w:val="off"/>
          <w:lang w:val="en-US"/>
        </w:rPr>
        <w:t xml:space="preserve">            </w:t>
      </w:r>
      <w:r>
        <w:rPr>
          <w:rFonts w:ascii="times"/>
          <w:color w:val="000000"/>
          <w:sz w:val="21"/>
          <w:rtl w:val="off"/>
          <w:lang w:val="en-US"/>
        </w:rPr>
        <w:t>О.А. Баглай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"/>
          <w:color w:val="000000"/>
          <w:sz w:val="21"/>
          <w:rtl w:val="off"/>
          <w:lang w:val="en-US"/>
        </w:rPr>
        <w:t xml:space="preserve">        </w:t>
      </w:r>
      <w:r>
        <w:rPr>
          <w:rFonts w:ascii="times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УТВЕРЖДЕНА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решением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Хабаровского муниципального района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от 01.02.2022 № 43-139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МЕТОДИКА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расчета объема иных межбюджетных трансфертов из бюджета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Мирненского сельского поселения Хабаровского муниципального района Хабаровского края в бюджет Хабаровского муниципального района Хабаровского края на осуществление полномочий контрольно-счетных органов поселения по внешнему муниципальному финансовому контролю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Настоящая Методика определяет порядок расчета объема иных межбюджетных трансфертов, передаваемых из бюджета Мирненского сельского поселения Хабаровского муниципального района Хабаровского края (далее – бюджет поселения) в бюджет Хабаровского муниципального района Хабаровского края (далее – бюджет района) на осуществление полномочий контрольно-счетных органов поселения по внешнему муниципальному финансовому контролю (далее – иные межбюджетные трансферты).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1. Объем иных межбюджетных трансфертов, предоставляемый из бюджета поселения в бюджет района, определяется с учетом необходимости обеспечения оплатой труда с начислениями работников Контрольно-счетной палаты Хабаровского муниципального района Хабаровского края (далее – Контрольно-счетная палата), осуществляющих переданные полномочия, их материально-технического обеспечения (в том числе обеспечения их мебелью, средствами вычислительной и оргтехники, средствами связи, материальными запасами и иными средствами, необходимыми для исполнения полномочий – осуществления контрольных и экспертно-аналитических мероприятий), оплаты транспортных расходов при служебных разъездах и командировках указанных работников, возмещения расходов по оплате горюче-смазочных материалов при использовании личного автотранспорта, а также оплаты договоров гражданско-правового характера (договоров возмездного оказания услуг) в случае привлечения к контрольным и экспертно-аналитическим мероприятиям независимых специалистов и экспертов по следующей формуле: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ОМБi = ((ЗП х Киз х Ирот) / ЧП) х Кор,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где: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ОМБi – объем иного межбюджетного трансферта, предоставляемый</w:t>
      </w:r>
      <w:r>
        <w:rPr>
          <w:rFonts w:ascii="times"/>
          <w:color w:val="000000"/>
          <w:sz w:val="18"/>
          <w:lang w:val="en-US"/>
        </w:rPr>
        <w:br w:type="textWrapping"/>
      </w:r>
      <w:r>
        <w:rPr>
          <w:rFonts w:ascii="times"/>
          <w:color w:val="000000"/>
          <w:sz w:val="18"/>
          <w:rtl w:val="off"/>
          <w:lang w:val="en-US"/>
        </w:rPr>
        <w:t>из бюджета i-го поселения, округленный до целых тысяч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ЗП – стандартные расходы на оплату труда, установленные в размере 2 007,000 тыс. рублей и определенные исходя из размера годового фонда оплаты труда с начислениями двух штатных единиц инспекторов Контрольно-счетной палаты, осуществляющих переданные полномочия;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Киз – коэффициент иных затрат, установленный равным 1,1;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Ирот – индекс роста оплаты труда, который равен темпу роста должностных окладов муниципальных служащих Хабаровского муниципального района Хабаровского края в очередном году по сравнению с первым годом реализации Соглашения о передаче полномочий. Указанный темп роста на очередной год равен произведению фактических темпов роста за годы, прошедшие с момента начала реализации Соглашения о передаче полномочий, и планируемого темпа роста на очередной год;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ЧП – число поселений, в которых созданы контрольно-счетные органы;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Кор – коэффициент объема работ, определенный исходя из объема расходной части бюджета поселения, передавшего полномочия и установленный в размерах, равных: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-"0,9" – для первой группы поселений, объем расходной части бюджета которых не превышает 3 млн.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-"1" – для второй группы поселений, объем расходной части бюджета которых свыше 3 млн. рублей и не превышает 5 млн.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-"1,1" – для третьей группы поселений, объем расходной части бюджета которых свыше 5 млн. рублей и не превышает 10 млн.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-"1,2" – для четвертой группы поселений, объем расходной части бюджета которых свыше 10 млн. рублей и не превышает 50 млн.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-"1,3" – для пятой группы поселений, объем расходной части бюджета которых свыше 50 млн. рублей.».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"/>
          <w:color w:val="000000"/>
          <w:sz w:val="21"/>
          <w:rtl w:val="off"/>
          <w:lang w:val="en-US"/>
        </w:rPr>
        <w:t xml:space="preserve">          </w:t>
      </w:r>
      <w:r>
        <w:rPr>
          <w:rFonts w:ascii="times"/>
          <w:color w:val="000000"/>
          <w:sz w:val="21"/>
          <w:rtl w:val="off"/>
          <w:lang w:val="en-US"/>
        </w:rPr>
        <w:t>О.А. Баглай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"/>
          <w:color w:val="000000"/>
          <w:sz w:val="21"/>
          <w:rtl w:val="off"/>
          <w:lang w:val="en-US"/>
        </w:rPr>
        <w:t xml:space="preserve">    </w:t>
      </w:r>
      <w:r>
        <w:rPr>
          <w:rFonts w:ascii="times"/>
          <w:color w:val="000000"/>
          <w:sz w:val="21"/>
          <w:rtl w:val="off"/>
          <w:lang w:val="en-US"/>
        </w:rPr>
        <w:t>А.В. Куприенко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