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«Двойное дно»: безусловность освобождения и условность исправления</w:t>
      </w:r>
    </w:p>
    <w:p w14:paraId="02000000">
      <w:pPr>
        <w:spacing w:line="240" w:lineRule="auto"/>
        <w:ind/>
        <w:jc w:val="both"/>
        <w:rPr>
          <w:sz w:val="28"/>
        </w:rPr>
      </w:pPr>
    </w:p>
    <w:p w14:paraId="03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Несовершеннолетний, освобожденный от наказания по ч. 1 ст. 92 УК РФ, считается несудимым (ч. 2 ст. 86 УК РФ). Само освобождение впоследствии </w:t>
      </w:r>
      <w:r>
        <w:rPr>
          <w:sz w:val="28"/>
        </w:rPr>
        <w:br/>
      </w:r>
      <w:r>
        <w:rPr>
          <w:sz w:val="28"/>
        </w:rPr>
        <w:t>не может быть отменено — это не условное осуждение, где при нарушении условий приговор исполняется реально .</w:t>
      </w:r>
    </w:p>
    <w:p w14:paraId="04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Однако сама по себе принудительная мера (предупреждение, передача под надзор, ограничение досуга или помещение в спецучреждение) является формой контроля. Систематическое (более двух раз) неисполнение предписанной меры влечет для подростка серьезные последствия. В случае злостного уклонения </w:t>
      </w:r>
      <w:r>
        <w:rPr>
          <w:sz w:val="28"/>
        </w:rPr>
        <w:br/>
      </w:r>
      <w:r>
        <w:rPr>
          <w:sz w:val="28"/>
        </w:rPr>
        <w:t xml:space="preserve">от исполнения принудительных мер воспитательного воздействия суд </w:t>
      </w:r>
      <w:r>
        <w:rPr>
          <w:sz w:val="28"/>
        </w:rPr>
        <w:br/>
      </w:r>
      <w:r>
        <w:rPr>
          <w:sz w:val="28"/>
        </w:rPr>
        <w:t xml:space="preserve">по представлению комиссии по делам несовершеннолетних может отменить данную меру и направить материалы для привлечения к уголовной ответственности (ч. 4 </w:t>
      </w:r>
      <w:r>
        <w:rPr>
          <w:sz w:val="28"/>
        </w:rPr>
        <w:br/>
      </w:r>
      <w:r>
        <w:rPr>
          <w:sz w:val="28"/>
        </w:rPr>
        <w:t>ст. 90 УК РФ) .</w:t>
      </w:r>
    </w:p>
    <w:p w14:paraId="05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Таким образом, хотя «дверь» в виде снятия судимости открыта, «коридор» воспитательного воздействия обязателен к прохождению.</w:t>
      </w:r>
    </w:p>
    <w:p w14:paraId="06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Часть 2 статьи 92 УК РФ предусматривает помещение в специальное учебно-воспитательное учреждение закрытого типа. Это не просто «место пребывания», </w:t>
      </w:r>
      <w:r>
        <w:rPr>
          <w:sz w:val="28"/>
        </w:rPr>
        <w:br/>
      </w:r>
      <w:r>
        <w:rPr>
          <w:sz w:val="28"/>
        </w:rPr>
        <w:t xml:space="preserve">а изоляция с жестким педагогическим режимом, применяемая, если цели наказания могут быть достигнуты только так. Срок пребывания здесь не может превышать максимального срока наказания за преступление, но может быть продлен судом </w:t>
      </w:r>
      <w:r>
        <w:rPr>
          <w:sz w:val="28"/>
        </w:rPr>
        <w:br/>
      </w:r>
      <w:r>
        <w:rPr>
          <w:sz w:val="28"/>
        </w:rPr>
        <w:t xml:space="preserve">при необходимости завершить обучение. Это прямое доказательство того, </w:t>
      </w:r>
      <w:r>
        <w:rPr>
          <w:sz w:val="28"/>
        </w:rPr>
        <w:br/>
      </w:r>
      <w:r>
        <w:rPr>
          <w:sz w:val="28"/>
        </w:rPr>
        <w:t xml:space="preserve">что законодатель рассматривает данную меру как процесс исправления, </w:t>
      </w:r>
      <w:r>
        <w:rPr>
          <w:sz w:val="28"/>
        </w:rPr>
        <w:br/>
      </w:r>
      <w:r>
        <w:rPr>
          <w:sz w:val="28"/>
        </w:rPr>
        <w:t>а не как льготу.</w:t>
      </w:r>
    </w:p>
    <w:p w14:paraId="07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Важно разграничивать освобождение от наказания (ст. 92 УК РФ) </w:t>
      </w:r>
      <w:r>
        <w:rPr>
          <w:sz w:val="28"/>
        </w:rPr>
        <w:br/>
      </w:r>
      <w:r>
        <w:rPr>
          <w:sz w:val="28"/>
        </w:rPr>
        <w:t xml:space="preserve">и освобождение от ответственности (ст. 90 УК РФ). В первом случае суд выносит </w:t>
      </w:r>
      <w:r>
        <w:rPr>
          <w:sz w:val="28"/>
        </w:rPr>
        <w:br/>
      </w:r>
      <w:r>
        <w:rPr>
          <w:sz w:val="28"/>
        </w:rPr>
        <w:t xml:space="preserve">обвинительный приговор, тем самым фактически признает лицо виновным. </w:t>
      </w:r>
      <w:r>
        <w:rPr>
          <w:sz w:val="28"/>
        </w:rPr>
        <w:br/>
      </w:r>
      <w:r>
        <w:rPr>
          <w:sz w:val="28"/>
        </w:rPr>
        <w:t xml:space="preserve">Это «клеймо» осуждения, пусть и без реального срока. Во втором случае (ст. 90 УК РФ) уголовное дело прекращается без вынесения приговора. </w:t>
      </w:r>
    </w:p>
    <w:p w14:paraId="08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Статья 92 УК РФ </w:t>
      </w:r>
      <w:r>
        <w:rPr>
          <w:sz w:val="28"/>
        </w:rPr>
        <w:t xml:space="preserve">— это не амнистия и не индульгенция. Это юридический компромисс, где взамен на снятие судимости государство получает право принудительно воспитывать несовершеннолетнего с помощью мер, не являющихся наказанием, но обладающих реальным принудительным потенциалом. </w:t>
      </w:r>
    </w:p>
    <w:p w14:paraId="09000000">
      <w:pPr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Таким образом, «двойное дно» заключается в том, что легкость освобождения от кары оборачивается жесткостью контроля за поведением, а сбой в этой системе возвращает дело </w:t>
      </w:r>
      <w:r>
        <w:rPr>
          <w:sz w:val="28"/>
        </w:rPr>
        <w:t>в плоскость уголовной репрессии.</w:t>
      </w:r>
    </w:p>
    <w:sectPr>
      <w:pgSz w:h="16848" w:orient="portrait" w:w="11908"/>
      <w:pgMar w:bottom="975" w:footer="708" w:gutter="0" w:header="708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basedOn w:val="Style_1"/>
    <w:link w:val="Style_12_ch"/>
    <w:rPr>
      <w:sz w:val="20"/>
    </w:rPr>
  </w:style>
  <w:style w:styleId="Style_12_ch" w:type="character">
    <w:name w:val="Footnote"/>
    <w:basedOn w:val="Style_1_ch"/>
    <w:link w:val="Style_12"/>
    <w:rPr>
      <w:sz w:val="20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footnote reference"/>
    <w:basedOn w:val="Style_15"/>
    <w:link w:val="Style_14_ch"/>
    <w:rPr>
      <w:vertAlign w:val="superscript"/>
    </w:rPr>
  </w:style>
  <w:style w:styleId="Style_14_ch" w:type="character">
    <w:name w:val="footnote reference"/>
    <w:basedOn w:val="Style_15_ch"/>
    <w:link w:val="Style_14"/>
    <w:rPr>
      <w:vertAlign w:val="superscript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Normal (Web)"/>
    <w:basedOn w:val="Style_1"/>
    <w:link w:val="Style_18_ch"/>
    <w:pPr>
      <w:widowControl w:val="1"/>
      <w:spacing w:afterAutospacing="on" w:beforeAutospacing="on"/>
      <w:ind/>
    </w:pPr>
  </w:style>
  <w:style w:styleId="Style_18_ch" w:type="character">
    <w:name w:val="Normal (Web)"/>
    <w:basedOn w:val="Style_1_ch"/>
    <w:link w:val="Style_18"/>
  </w:style>
  <w:style w:styleId="Style_19" w:type="paragraph">
    <w:name w:val="toc 8"/>
    <w:next w:val="Style_1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List Paragraph"/>
    <w:basedOn w:val="Style_1"/>
    <w:link w:val="Style_20_ch"/>
    <w:pPr>
      <w:widowControl w:val="1"/>
      <w:ind w:left="720"/>
      <w:contextualSpacing w:val="1"/>
    </w:pPr>
  </w:style>
  <w:style w:styleId="Style_20_ch" w:type="character">
    <w:name w:val="List Paragraph"/>
    <w:basedOn w:val="Style_1_ch"/>
    <w:link w:val="Style_20"/>
  </w:style>
  <w:style w:styleId="Style_21" w:type="paragraph">
    <w:name w:val="toc 5"/>
    <w:next w:val="Style_1"/>
    <w:link w:val="Style_21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1"/>
    <w:link w:val="Style_22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3" w:type="paragraph">
    <w:name w:val="Title"/>
    <w:next w:val="Style_1"/>
    <w:link w:val="Style_23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1"/>
    <w:link w:val="Style_24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1"/>
    <w:link w:val="Style_2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2026-06-19T01:26:33Z</dcterms:created>
  <dcterms:modified xsi:type="dcterms:W3CDTF">2026-06-19T01:26:33Z</dcterms:modified>
</cp:coreProperties>
</file>