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начале реализации проекта «Ребята нашего двора»</w:t>
      </w:r>
    </w:p>
    <w:p>
      <w:pPr>
        <w:rPr/>
      </w:pPr>
    </w:p>
    <w:p>
      <w:r>
        <w:rPr>
          <w:lang w:val="ru-RU"/>
        </w:rPr>
        <w:t>Началась реализация проекта «Ребята нашего двора» территориального общественного самоуправления «Миряне» на придомовой территории домов 22, 23 по ул. Рабочая, с. Мирное. Образование ТОСа было с целью обустройства дворовой территории, а именно обустройство детской площадки, установка тренажеров, благоустройство территории. На данный момент соглашение о предоставлении межбюджетных трансфертов подписано, средства на реализацию проекта должны поступить, ведется работа, а с поставщиками о поставке и монтаже малых архитектурных форм.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