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1000000">
      <w:pPr>
        <w:widowControl w:val="1"/>
        <w:spacing w:line="240" w:lineRule="auto"/>
        <w:ind/>
        <w:jc w:val="center"/>
        <w:rPr>
          <w:b w:val="1"/>
          <w:sz w:val="27"/>
        </w:rPr>
      </w:pPr>
      <w:r>
        <w:rPr>
          <w:b w:val="1"/>
          <w:sz w:val="27"/>
        </w:rPr>
        <w:t>«Имущественный иммунитет: деньги ребенка — табу для возмещения ущерба»</w:t>
      </w:r>
    </w:p>
    <w:p w14:paraId="02000000">
      <w:pPr>
        <w:widowControl w:val="1"/>
        <w:spacing w:line="240" w:lineRule="auto"/>
        <w:ind/>
        <w:jc w:val="both"/>
        <w:rPr>
          <w:sz w:val="27"/>
        </w:rPr>
      </w:pPr>
    </w:p>
    <w:p w14:paraId="03000000">
      <w:pPr>
        <w:widowControl w:val="1"/>
        <w:spacing w:line="240" w:lineRule="auto"/>
        <w:ind w:firstLine="709"/>
        <w:jc w:val="both"/>
        <w:rPr>
          <w:sz w:val="27"/>
        </w:rPr>
      </w:pPr>
      <w:r>
        <w:rPr>
          <w:sz w:val="27"/>
        </w:rPr>
        <w:t xml:space="preserve">В российской правовой системе действует принцип, согласно которому имущество несовершеннолетнего ребенка, включая его денежные средства, находится под особой охраной государства. Обращение взыскания на деньги ребенка для возмещения ущерба, причиненного его родителем или иным лицом, </w:t>
      </w:r>
      <w:r>
        <w:rPr>
          <w:sz w:val="27"/>
        </w:rPr>
        <w:br/>
      </w:r>
      <w:r>
        <w:rPr>
          <w:sz w:val="27"/>
        </w:rPr>
        <w:t>не допускается в силу прямого законодательного запрета и конституционного принципа приоритета прав и интересов несовершеннолетних.</w:t>
      </w:r>
    </w:p>
    <w:p w14:paraId="04000000">
      <w:pPr>
        <w:widowControl w:val="1"/>
        <w:spacing w:line="240" w:lineRule="auto"/>
        <w:ind w:firstLine="709"/>
        <w:jc w:val="both"/>
        <w:rPr>
          <w:sz w:val="27"/>
        </w:rPr>
      </w:pPr>
      <w:r>
        <w:rPr>
          <w:sz w:val="27"/>
        </w:rPr>
        <w:t xml:space="preserve">Основополагающий запрет на обращение взыскания на имущество, принадлежащее несовершеннолетним, прямо вытекает из системного толкования </w:t>
      </w:r>
      <w:r>
        <w:rPr>
          <w:sz w:val="27"/>
        </w:rPr>
        <w:br/>
      </w:r>
      <w:r>
        <w:rPr>
          <w:sz w:val="27"/>
        </w:rPr>
        <w:t xml:space="preserve">ст. 446 Гражданского процессуального кодекса Российской Федерации. Данная норма устанавливает перечень имущества, на которое не может быть обращено взыскание по исполнительным документам. В статье прямо </w:t>
      </w:r>
      <w:r>
        <w:rPr>
          <w:sz w:val="27"/>
        </w:rPr>
        <w:t>не упоминаются «деньги ребенка», однако правовая конструкция направлена на защиту имущества, необходимого для нормального существования должника и лиц, находящихся на его иждивении .</w:t>
      </w:r>
    </w:p>
    <w:p w14:paraId="05000000">
      <w:pPr>
        <w:widowControl w:val="1"/>
        <w:spacing w:line="240" w:lineRule="auto"/>
        <w:ind w:firstLine="709"/>
        <w:jc w:val="both"/>
        <w:rPr>
          <w:sz w:val="27"/>
        </w:rPr>
      </w:pPr>
      <w:r>
        <w:rPr>
          <w:sz w:val="27"/>
        </w:rPr>
        <w:t xml:space="preserve">В абзаце 7 части 1 статьи 446 ГПК РФ закреплено, что взыскание не может быть обращено на продукты питания и деньги на общую сумму не менее установленной величины прожиточного минимума самого гражданина-должника </w:t>
      </w:r>
      <w:r>
        <w:rPr>
          <w:sz w:val="27"/>
        </w:rPr>
        <w:br/>
      </w:r>
      <w:r>
        <w:rPr>
          <w:sz w:val="27"/>
        </w:rPr>
        <w:t xml:space="preserve">и лиц, находящихся на его иждивении. Поскольку несовершеннолетний ребенок является иждивенцем своих родителей, денежные средства, принадлежащие ему </w:t>
      </w:r>
      <w:r>
        <w:rPr>
          <w:sz w:val="27"/>
        </w:rPr>
        <w:br/>
      </w:r>
      <w:r>
        <w:rPr>
          <w:sz w:val="27"/>
        </w:rPr>
        <w:t>и обеспечивающие его минимальные потребности, защищены исполнительским иммунитетом.</w:t>
      </w:r>
    </w:p>
    <w:p w14:paraId="06000000">
      <w:pPr>
        <w:widowControl w:val="1"/>
        <w:spacing w:line="240" w:lineRule="auto"/>
        <w:ind w:firstLine="709"/>
        <w:jc w:val="both"/>
        <w:rPr>
          <w:sz w:val="27"/>
        </w:rPr>
      </w:pPr>
      <w:r>
        <w:rPr>
          <w:sz w:val="27"/>
        </w:rPr>
        <w:t xml:space="preserve">Гражданское законодательство наделяет ребенка правоспособностью </w:t>
      </w:r>
      <w:r>
        <w:rPr>
          <w:sz w:val="27"/>
        </w:rPr>
        <w:br/>
      </w:r>
      <w:r>
        <w:rPr>
          <w:sz w:val="27"/>
        </w:rPr>
        <w:t xml:space="preserve">с момента рождения (ст. 17 ГК РФ), что означает возможность иметь имущество </w:t>
      </w:r>
      <w:r>
        <w:rPr>
          <w:sz w:val="27"/>
        </w:rPr>
        <w:br/>
      </w:r>
      <w:r>
        <w:rPr>
          <w:sz w:val="27"/>
        </w:rPr>
        <w:t>на праве собственности. Однако дееспособность, то есть способность самостоятельно распоряжаться имуществом, возникает постепенно, а именно:</w:t>
      </w:r>
    </w:p>
    <w:p w14:paraId="07000000">
      <w:pPr>
        <w:widowControl w:val="1"/>
        <w:spacing w:line="240" w:lineRule="auto"/>
        <w:ind w:firstLine="709"/>
        <w:jc w:val="both"/>
        <w:rPr>
          <w:sz w:val="27"/>
        </w:rPr>
      </w:pPr>
      <w:r>
        <w:rPr>
          <w:sz w:val="27"/>
        </w:rPr>
        <w:t>дети до 14 лет (малолетние) не обладают дееспособностью, от их имени сделки совершают родители (ст. 28 ГК РФ);</w:t>
      </w:r>
    </w:p>
    <w:p w14:paraId="08000000">
      <w:pPr>
        <w:widowControl w:val="1"/>
        <w:spacing w:line="240" w:lineRule="auto"/>
        <w:ind w:firstLine="709"/>
        <w:jc w:val="both"/>
        <w:rPr>
          <w:sz w:val="27"/>
        </w:rPr>
      </w:pPr>
      <w:r>
        <w:rPr>
          <w:sz w:val="27"/>
        </w:rPr>
        <w:t>несовершеннолетние 14-18 лет вправе совершать сделки с письменного согласия родителей (ст. 26 ГК РФ).</w:t>
      </w:r>
    </w:p>
    <w:p w14:paraId="09000000">
      <w:pPr>
        <w:widowControl w:val="1"/>
        <w:spacing w:line="240" w:lineRule="auto"/>
        <w:ind w:firstLine="709"/>
        <w:jc w:val="both"/>
        <w:rPr>
          <w:sz w:val="27"/>
        </w:rPr>
      </w:pPr>
      <w:r>
        <w:rPr>
          <w:sz w:val="27"/>
        </w:rPr>
        <w:t xml:space="preserve">При этом имущественная ответственность по сделкам малолетнего лежит </w:t>
      </w:r>
      <w:r>
        <w:rPr>
          <w:sz w:val="27"/>
        </w:rPr>
        <w:br/>
      </w:r>
      <w:r>
        <w:rPr>
          <w:sz w:val="27"/>
        </w:rPr>
        <w:t xml:space="preserve">на родителях (п. 3 ст. 28 ГК РФ). Это означает, что ребенок, его личные денежные средства и имущество не отвечают по долгам родителей, если только не доказано, что имущество приобретено за счет средств родителя с целью уклонения </w:t>
      </w:r>
      <w:r>
        <w:rPr>
          <w:sz w:val="27"/>
        </w:rPr>
        <w:br/>
      </w:r>
      <w:r>
        <w:rPr>
          <w:sz w:val="27"/>
        </w:rPr>
        <w:t>от взыскания.</w:t>
      </w:r>
    </w:p>
    <w:p w14:paraId="0A000000">
      <w:pPr>
        <w:widowControl w:val="1"/>
        <w:spacing w:line="240" w:lineRule="auto"/>
        <w:ind w:firstLine="709"/>
        <w:jc w:val="both"/>
        <w:rPr>
          <w:sz w:val="27"/>
        </w:rPr>
      </w:pPr>
      <w:r>
        <w:rPr>
          <w:sz w:val="27"/>
        </w:rPr>
        <w:t>При этом важно разграничивать:</w:t>
      </w:r>
    </w:p>
    <w:p w14:paraId="0B000000">
      <w:pPr>
        <w:widowControl w:val="1"/>
        <w:spacing w:line="240" w:lineRule="auto"/>
        <w:ind w:firstLine="709"/>
        <w:jc w:val="both"/>
        <w:rPr>
          <w:sz w:val="27"/>
        </w:rPr>
      </w:pPr>
      <w:r>
        <w:rPr>
          <w:sz w:val="27"/>
        </w:rPr>
        <w:t>1. Имущество, принадлежащее ребенку на праве собственности, – не подлежит взысканию по долгам родителей.</w:t>
      </w:r>
    </w:p>
    <w:p w14:paraId="0C000000">
      <w:pPr>
        <w:widowControl w:val="1"/>
        <w:spacing w:line="240" w:lineRule="auto"/>
        <w:ind w:firstLine="709"/>
        <w:jc w:val="both"/>
        <w:rPr>
          <w:sz w:val="27"/>
        </w:rPr>
      </w:pPr>
      <w:r>
        <w:rPr>
          <w:sz w:val="27"/>
        </w:rPr>
        <w:t>2. Имущество, формально оформленное на ребенка, но приобретенное за счет средств родителя с целью уклонения от взыскания, – может быть оспорено как мнимая сделка.</w:t>
      </w:r>
    </w:p>
    <w:p w14:paraId="0D000000">
      <w:pPr>
        <w:widowControl w:val="1"/>
        <w:spacing w:line="240" w:lineRule="auto"/>
        <w:ind w:firstLine="709"/>
        <w:jc w:val="both"/>
        <w:rPr>
          <w:sz w:val="27"/>
        </w:rPr>
      </w:pPr>
      <w:r>
        <w:rPr>
          <w:sz w:val="27"/>
        </w:rPr>
        <w:t xml:space="preserve">3. Денежные средства, перечисленные на счет ребенка в качестве алиментов, пенсий, пособий, – защищены иммунитетом и не могут быть использованы </w:t>
      </w:r>
      <w:r>
        <w:rPr>
          <w:sz w:val="27"/>
        </w:rPr>
        <w:br/>
      </w:r>
      <w:r>
        <w:rPr>
          <w:sz w:val="27"/>
        </w:rPr>
        <w:t>для погашения долгов родителя.</w:t>
      </w:r>
    </w:p>
    <w:p w14:paraId="0E000000">
      <w:pPr>
        <w:widowControl w:val="1"/>
        <w:spacing w:line="240" w:lineRule="auto"/>
        <w:ind w:firstLine="709"/>
        <w:jc w:val="both"/>
        <w:rPr>
          <w:sz w:val="27"/>
        </w:rPr>
      </w:pPr>
      <w:r>
        <w:rPr>
          <w:sz w:val="27"/>
        </w:rPr>
        <w:t xml:space="preserve">Таким образом, имущественный иммунитет ребенка представляет собой абсолютную правовую гарантию, основанную на конституционном принципе приоритета прав несовершеннолетних. Деньги ребенка, как и иное его имущество, являются неприкосновенными для взыскания по долгам родителей или иных лиц </w:t>
      </w:r>
      <w:r>
        <w:rPr>
          <w:sz w:val="27"/>
        </w:rPr>
        <w:br/>
      </w:r>
      <w:r>
        <w:rPr>
          <w:sz w:val="27"/>
        </w:rPr>
        <w:t>в силу ст. 446 ГПК РФ, ст. 28 ГК РФ и правовых позиций Конституционного Суда Российской Федерации.</w:t>
      </w:r>
    </w:p>
    <w:sectPr>
      <w:pgSz w:h="16848" w:orient="portrait" w:w="11908"/>
      <w:pgMar w:bottom="548" w:footer="708" w:gutter="0" w:header="708" w:left="1134" w:right="567" w:top="426"/>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widowControl w:val="1"/>
        <w:spacing w:after="160" w:before="0" w:line="259"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1" w:type="paragraph">
    <w:name w:val="Normal"/>
    <w:link w:val="Style_1_ch"/>
    <w:uiPriority w:val="0"/>
    <w:qFormat/>
    <w:pPr>
      <w:widowControl w:val="1"/>
      <w:spacing w:after="0" w:line="240" w:lineRule="auto"/>
      <w:ind/>
    </w:pPr>
    <w:rPr>
      <w:rFonts w:ascii="Times New Roman" w:hAnsi="Times New Roman"/>
      <w:sz w:val="24"/>
    </w:rPr>
  </w:style>
  <w:style w:default="1" w:styleId="Style_1_ch" w:type="character">
    <w:name w:val="Normal"/>
    <w:link w:val="Style_1"/>
    <w:rPr>
      <w:rFonts w:ascii="Times New Roman" w:hAnsi="Times New Roman"/>
      <w:sz w:val="24"/>
    </w:rPr>
  </w:style>
  <w:style w:styleId="Style_2" w:type="paragraph">
    <w:name w:val="toc 2"/>
    <w:next w:val="Style_1"/>
    <w:link w:val="Style_2_ch"/>
    <w:uiPriority w:val="39"/>
    <w:pPr>
      <w:widowControl w:val="1"/>
      <w:ind w:firstLine="0" w:left="200"/>
      <w:jc w:val="left"/>
    </w:pPr>
    <w:rPr>
      <w:rFonts w:ascii="XO Thames" w:hAnsi="XO Thames"/>
      <w:sz w:val="28"/>
    </w:rPr>
  </w:style>
  <w:style w:styleId="Style_2_ch" w:type="character">
    <w:name w:val="toc 2"/>
    <w:link w:val="Style_2"/>
    <w:rPr>
      <w:rFonts w:ascii="XO Thames" w:hAnsi="XO Thames"/>
      <w:sz w:val="28"/>
    </w:rPr>
  </w:style>
  <w:style w:styleId="Style_3" w:type="paragraph">
    <w:name w:val="toc 4"/>
    <w:next w:val="Style_1"/>
    <w:link w:val="Style_3_ch"/>
    <w:uiPriority w:val="39"/>
    <w:pPr>
      <w:widowControl w:val="1"/>
      <w:ind w:firstLine="0" w:left="600"/>
      <w:jc w:val="left"/>
    </w:pPr>
    <w:rPr>
      <w:rFonts w:ascii="XO Thames" w:hAnsi="XO Thames"/>
      <w:sz w:val="28"/>
    </w:rPr>
  </w:style>
  <w:style w:styleId="Style_3_ch" w:type="character">
    <w:name w:val="toc 4"/>
    <w:link w:val="Style_3"/>
    <w:rPr>
      <w:rFonts w:ascii="XO Thames" w:hAnsi="XO Thames"/>
      <w:sz w:val="28"/>
    </w:rPr>
  </w:style>
  <w:style w:styleId="Style_4" w:type="paragraph">
    <w:name w:val="Default Paragraph Font"/>
    <w:link w:val="Style_4_ch"/>
  </w:style>
  <w:style w:styleId="Style_4_ch" w:type="character">
    <w:name w:val="Default Paragraph Font"/>
    <w:link w:val="Style_4"/>
  </w:style>
  <w:style w:styleId="Style_5" w:type="paragraph">
    <w:name w:val="toc 6"/>
    <w:next w:val="Style_1"/>
    <w:link w:val="Style_5_ch"/>
    <w:uiPriority w:val="39"/>
    <w:pPr>
      <w:widowControl w:val="1"/>
      <w:ind w:firstLine="0" w:left="1000"/>
      <w:jc w:val="left"/>
    </w:pPr>
    <w:rPr>
      <w:rFonts w:ascii="XO Thames" w:hAnsi="XO Thames"/>
      <w:sz w:val="28"/>
    </w:rPr>
  </w:style>
  <w:style w:styleId="Style_5_ch" w:type="character">
    <w:name w:val="toc 6"/>
    <w:link w:val="Style_5"/>
    <w:rPr>
      <w:rFonts w:ascii="XO Thames" w:hAnsi="XO Thames"/>
      <w:sz w:val="28"/>
    </w:rPr>
  </w:style>
  <w:style w:styleId="Style_6" w:type="paragraph">
    <w:name w:val="toc 7"/>
    <w:next w:val="Style_1"/>
    <w:link w:val="Style_6_ch"/>
    <w:uiPriority w:val="39"/>
    <w:pPr>
      <w:widowControl w:val="1"/>
      <w:ind w:firstLine="0" w:left="1200"/>
      <w:jc w:val="left"/>
    </w:pPr>
    <w:rPr>
      <w:rFonts w:ascii="XO Thames" w:hAnsi="XO Thames"/>
      <w:sz w:val="28"/>
    </w:rPr>
  </w:style>
  <w:style w:styleId="Style_6_ch" w:type="character">
    <w:name w:val="toc 7"/>
    <w:link w:val="Style_6"/>
    <w:rPr>
      <w:rFonts w:ascii="XO Thames" w:hAnsi="XO Thames"/>
      <w:sz w:val="28"/>
    </w:rPr>
  </w:style>
  <w:style w:styleId="Style_7" w:type="paragraph">
    <w:name w:val="Endnote"/>
    <w:link w:val="Style_7_ch"/>
    <w:pPr>
      <w:widowControl w:val="1"/>
      <w:ind w:firstLine="851" w:left="0"/>
      <w:jc w:val="both"/>
    </w:pPr>
    <w:rPr>
      <w:rFonts w:ascii="XO Thames" w:hAnsi="XO Thames"/>
      <w:sz w:val="22"/>
    </w:rPr>
  </w:style>
  <w:style w:styleId="Style_7_ch" w:type="character">
    <w:name w:val="Endnote"/>
    <w:link w:val="Style_7"/>
    <w:rPr>
      <w:rFonts w:ascii="XO Thames" w:hAnsi="XO Thames"/>
      <w:sz w:val="22"/>
    </w:rPr>
  </w:style>
  <w:style w:styleId="Style_8" w:type="paragraph">
    <w:name w:val="heading 3"/>
    <w:next w:val="Style_1"/>
    <w:link w:val="Style_8_ch"/>
    <w:uiPriority w:val="9"/>
    <w:qFormat/>
    <w:pPr>
      <w:widowControl w:val="1"/>
      <w:spacing w:after="120" w:before="120"/>
      <w:ind/>
      <w:jc w:val="both"/>
      <w:outlineLvl w:val="2"/>
    </w:pPr>
    <w:rPr>
      <w:rFonts w:ascii="XO Thames" w:hAnsi="XO Thames"/>
      <w:b w:val="1"/>
      <w:sz w:val="26"/>
    </w:rPr>
  </w:style>
  <w:style w:styleId="Style_8_ch" w:type="character">
    <w:name w:val="heading 3"/>
    <w:link w:val="Style_8"/>
    <w:rPr>
      <w:rFonts w:ascii="XO Thames" w:hAnsi="XO Thames"/>
      <w:b w:val="1"/>
      <w:sz w:val="26"/>
    </w:rPr>
  </w:style>
  <w:style w:styleId="Style_9" w:type="paragraph">
    <w:name w:val="List Paragraph"/>
    <w:basedOn w:val="Style_1"/>
    <w:link w:val="Style_9_ch"/>
    <w:pPr>
      <w:widowControl w:val="1"/>
      <w:ind w:left="720"/>
      <w:contextualSpacing w:val="1"/>
    </w:pPr>
  </w:style>
  <w:style w:styleId="Style_9_ch" w:type="character">
    <w:name w:val="List Paragraph"/>
    <w:basedOn w:val="Style_1_ch"/>
    <w:link w:val="Style_9"/>
  </w:style>
  <w:style w:styleId="Style_10" w:type="paragraph">
    <w:name w:val="footnote reference"/>
    <w:basedOn w:val="Style_4"/>
    <w:link w:val="Style_10_ch"/>
    <w:rPr>
      <w:vertAlign w:val="superscript"/>
    </w:rPr>
  </w:style>
  <w:style w:styleId="Style_10_ch" w:type="character">
    <w:name w:val="footnote reference"/>
    <w:basedOn w:val="Style_4_ch"/>
    <w:link w:val="Style_10"/>
    <w:rPr>
      <w:vertAlign w:val="superscript"/>
    </w:rPr>
  </w:style>
  <w:style w:styleId="Style_11" w:type="paragraph">
    <w:name w:val="toc 3"/>
    <w:next w:val="Style_1"/>
    <w:link w:val="Style_11_ch"/>
    <w:uiPriority w:val="39"/>
    <w:pPr>
      <w:widowControl w:val="1"/>
      <w:ind w:firstLine="0" w:left="400"/>
      <w:jc w:val="left"/>
    </w:pPr>
    <w:rPr>
      <w:rFonts w:ascii="XO Thames" w:hAnsi="XO Thames"/>
      <w:sz w:val="28"/>
    </w:rPr>
  </w:style>
  <w:style w:styleId="Style_11_ch" w:type="character">
    <w:name w:val="toc 3"/>
    <w:link w:val="Style_11"/>
    <w:rPr>
      <w:rFonts w:ascii="XO Thames" w:hAnsi="XO Thames"/>
      <w:sz w:val="28"/>
    </w:rPr>
  </w:style>
  <w:style w:styleId="Style_12" w:type="paragraph">
    <w:name w:val="heading 5"/>
    <w:next w:val="Style_1"/>
    <w:link w:val="Style_12_ch"/>
    <w:uiPriority w:val="9"/>
    <w:qFormat/>
    <w:pPr>
      <w:widowControl w:val="1"/>
      <w:spacing w:after="120" w:before="120"/>
      <w:ind/>
      <w:jc w:val="both"/>
      <w:outlineLvl w:val="4"/>
    </w:pPr>
    <w:rPr>
      <w:rFonts w:ascii="XO Thames" w:hAnsi="XO Thames"/>
      <w:b w:val="1"/>
      <w:sz w:val="22"/>
    </w:rPr>
  </w:style>
  <w:style w:styleId="Style_12_ch" w:type="character">
    <w:name w:val="heading 5"/>
    <w:link w:val="Style_12"/>
    <w:rPr>
      <w:rFonts w:ascii="XO Thames" w:hAnsi="XO Thames"/>
      <w:b w:val="1"/>
      <w:sz w:val="22"/>
    </w:rPr>
  </w:style>
  <w:style w:styleId="Style_13" w:type="paragraph">
    <w:name w:val="heading 1"/>
    <w:next w:val="Style_1"/>
    <w:link w:val="Style_13_ch"/>
    <w:uiPriority w:val="9"/>
    <w:qFormat/>
    <w:pPr>
      <w:widowControl w:val="1"/>
      <w:spacing w:after="120" w:before="120"/>
      <w:ind/>
      <w:jc w:val="both"/>
      <w:outlineLvl w:val="0"/>
    </w:pPr>
    <w:rPr>
      <w:rFonts w:ascii="XO Thames" w:hAnsi="XO Thames"/>
      <w:b w:val="1"/>
      <w:sz w:val="32"/>
    </w:rPr>
  </w:style>
  <w:style w:styleId="Style_13_ch" w:type="character">
    <w:name w:val="heading 1"/>
    <w:link w:val="Style_13"/>
    <w:rPr>
      <w:rFonts w:ascii="XO Thames" w:hAnsi="XO Thames"/>
      <w:b w:val="1"/>
      <w:sz w:val="32"/>
    </w:rPr>
  </w:style>
  <w:style w:styleId="Style_14" w:type="paragraph">
    <w:name w:val="Hyperlink"/>
    <w:link w:val="Style_14_ch"/>
    <w:rPr>
      <w:color w:val="0000FF"/>
      <w:u w:val="single"/>
    </w:rPr>
  </w:style>
  <w:style w:styleId="Style_14_ch" w:type="character">
    <w:name w:val="Hyperlink"/>
    <w:link w:val="Style_14"/>
    <w:rPr>
      <w:color w:val="0000FF"/>
      <w:u w:val="single"/>
    </w:rPr>
  </w:style>
  <w:style w:styleId="Style_15" w:type="paragraph">
    <w:name w:val="Footnote"/>
    <w:basedOn w:val="Style_1"/>
    <w:link w:val="Style_15_ch"/>
    <w:rPr>
      <w:sz w:val="20"/>
    </w:rPr>
  </w:style>
  <w:style w:styleId="Style_15_ch" w:type="character">
    <w:name w:val="Footnote"/>
    <w:basedOn w:val="Style_1_ch"/>
    <w:link w:val="Style_15"/>
    <w:rPr>
      <w:sz w:val="20"/>
    </w:rPr>
  </w:style>
  <w:style w:styleId="Style_16" w:type="paragraph">
    <w:name w:val="toc 1"/>
    <w:next w:val="Style_1"/>
    <w:link w:val="Style_16_ch"/>
    <w:uiPriority w:val="39"/>
    <w:pPr>
      <w:widowControl w:val="1"/>
      <w:ind w:firstLine="0" w:left="0"/>
      <w:jc w:val="left"/>
    </w:pPr>
    <w:rPr>
      <w:rFonts w:ascii="XO Thames" w:hAnsi="XO Thames"/>
      <w:b w:val="1"/>
      <w:sz w:val="28"/>
    </w:rPr>
  </w:style>
  <w:style w:styleId="Style_16_ch" w:type="character">
    <w:name w:val="toc 1"/>
    <w:link w:val="Style_16"/>
    <w:rPr>
      <w:rFonts w:ascii="XO Thames" w:hAnsi="XO Thames"/>
      <w:b w:val="1"/>
      <w:sz w:val="28"/>
    </w:rPr>
  </w:style>
  <w:style w:styleId="Style_17" w:type="paragraph">
    <w:name w:val="Normal (Web)"/>
    <w:basedOn w:val="Style_1"/>
    <w:link w:val="Style_17_ch"/>
    <w:pPr>
      <w:widowControl w:val="1"/>
      <w:spacing w:afterAutospacing="on" w:beforeAutospacing="on"/>
      <w:ind/>
    </w:pPr>
  </w:style>
  <w:style w:styleId="Style_17_ch" w:type="character">
    <w:name w:val="Normal (Web)"/>
    <w:basedOn w:val="Style_1_ch"/>
    <w:link w:val="Style_17"/>
  </w:style>
  <w:style w:styleId="Style_18" w:type="paragraph">
    <w:name w:val="Header and Footer"/>
    <w:link w:val="Style_18_ch"/>
    <w:pPr>
      <w:widowControl w:val="1"/>
      <w:spacing w:line="240" w:lineRule="auto"/>
      <w:ind/>
      <w:jc w:val="both"/>
    </w:pPr>
    <w:rPr>
      <w:rFonts w:ascii="XO Thames" w:hAnsi="XO Thames"/>
      <w:sz w:val="28"/>
    </w:rPr>
  </w:style>
  <w:style w:styleId="Style_18_ch" w:type="character">
    <w:name w:val="Header and Footer"/>
    <w:link w:val="Style_18"/>
    <w:rPr>
      <w:rFonts w:ascii="XO Thames" w:hAnsi="XO Thames"/>
      <w:sz w:val="28"/>
    </w:rPr>
  </w:style>
  <w:style w:styleId="Style_19" w:type="paragraph">
    <w:name w:val="toc 9"/>
    <w:next w:val="Style_1"/>
    <w:link w:val="Style_19_ch"/>
    <w:uiPriority w:val="39"/>
    <w:pPr>
      <w:widowControl w:val="1"/>
      <w:ind w:firstLine="0" w:left="1600"/>
      <w:jc w:val="left"/>
    </w:pPr>
    <w:rPr>
      <w:rFonts w:ascii="XO Thames" w:hAnsi="XO Thames"/>
      <w:sz w:val="28"/>
    </w:rPr>
  </w:style>
  <w:style w:styleId="Style_19_ch" w:type="character">
    <w:name w:val="toc 9"/>
    <w:link w:val="Style_19"/>
    <w:rPr>
      <w:rFonts w:ascii="XO Thames" w:hAnsi="XO Thames"/>
      <w:sz w:val="28"/>
    </w:rPr>
  </w:style>
  <w:style w:styleId="Style_20" w:type="paragraph">
    <w:name w:val="toc 8"/>
    <w:next w:val="Style_1"/>
    <w:link w:val="Style_20_ch"/>
    <w:uiPriority w:val="39"/>
    <w:pPr>
      <w:widowControl w:val="1"/>
      <w:ind w:firstLine="0" w:left="1400"/>
      <w:jc w:val="left"/>
    </w:pPr>
    <w:rPr>
      <w:rFonts w:ascii="XO Thames" w:hAnsi="XO Thames"/>
      <w:sz w:val="28"/>
    </w:rPr>
  </w:style>
  <w:style w:styleId="Style_20_ch" w:type="character">
    <w:name w:val="toc 8"/>
    <w:link w:val="Style_20"/>
    <w:rPr>
      <w:rFonts w:ascii="XO Thames" w:hAnsi="XO Thames"/>
      <w:sz w:val="28"/>
    </w:rPr>
  </w:style>
  <w:style w:styleId="Style_21" w:type="paragraph">
    <w:name w:val="toc 5"/>
    <w:next w:val="Style_1"/>
    <w:link w:val="Style_21_ch"/>
    <w:uiPriority w:val="39"/>
    <w:pPr>
      <w:widowControl w:val="1"/>
      <w:ind w:firstLine="0" w:left="800"/>
      <w:jc w:val="left"/>
    </w:pPr>
    <w:rPr>
      <w:rFonts w:ascii="XO Thames" w:hAnsi="XO Thames"/>
      <w:sz w:val="28"/>
    </w:rPr>
  </w:style>
  <w:style w:styleId="Style_21_ch" w:type="character">
    <w:name w:val="toc 5"/>
    <w:link w:val="Style_21"/>
    <w:rPr>
      <w:rFonts w:ascii="XO Thames" w:hAnsi="XO Thames"/>
      <w:sz w:val="28"/>
    </w:rPr>
  </w:style>
  <w:style w:styleId="Style_22" w:type="paragraph">
    <w:name w:val="Subtitle"/>
    <w:next w:val="Style_1"/>
    <w:link w:val="Style_22_ch"/>
    <w:uiPriority w:val="11"/>
    <w:qFormat/>
    <w:pPr>
      <w:widowControl w:val="1"/>
      <w:ind/>
      <w:jc w:val="both"/>
    </w:pPr>
    <w:rPr>
      <w:rFonts w:ascii="XO Thames" w:hAnsi="XO Thames"/>
      <w:i w:val="1"/>
      <w:sz w:val="24"/>
    </w:rPr>
  </w:style>
  <w:style w:styleId="Style_22_ch" w:type="character">
    <w:name w:val="Subtitle"/>
    <w:link w:val="Style_22"/>
    <w:rPr>
      <w:rFonts w:ascii="XO Thames" w:hAnsi="XO Thames"/>
      <w:i w:val="1"/>
      <w:sz w:val="24"/>
    </w:rPr>
  </w:style>
  <w:style w:styleId="Style_23" w:type="paragraph">
    <w:name w:val="Title"/>
    <w:next w:val="Style_1"/>
    <w:link w:val="Style_23_ch"/>
    <w:uiPriority w:val="10"/>
    <w:qFormat/>
    <w:pPr>
      <w:widowControl w:val="1"/>
      <w:spacing w:after="567" w:before="567"/>
      <w:ind/>
      <w:jc w:val="center"/>
    </w:pPr>
    <w:rPr>
      <w:rFonts w:ascii="XO Thames" w:hAnsi="XO Thames"/>
      <w:b w:val="1"/>
      <w:caps w:val="1"/>
      <w:sz w:val="40"/>
    </w:rPr>
  </w:style>
  <w:style w:styleId="Style_23_ch" w:type="character">
    <w:name w:val="Title"/>
    <w:link w:val="Style_23"/>
    <w:rPr>
      <w:rFonts w:ascii="XO Thames" w:hAnsi="XO Thames"/>
      <w:b w:val="1"/>
      <w:caps w:val="1"/>
      <w:sz w:val="40"/>
    </w:rPr>
  </w:style>
  <w:style w:styleId="Style_24" w:type="paragraph">
    <w:name w:val="heading 4"/>
    <w:next w:val="Style_1"/>
    <w:link w:val="Style_24_ch"/>
    <w:uiPriority w:val="9"/>
    <w:qFormat/>
    <w:pPr>
      <w:widowControl w:val="1"/>
      <w:spacing w:after="120" w:before="120"/>
      <w:ind/>
      <w:jc w:val="both"/>
      <w:outlineLvl w:val="3"/>
    </w:pPr>
    <w:rPr>
      <w:rFonts w:ascii="XO Thames" w:hAnsi="XO Thames"/>
      <w:b w:val="1"/>
      <w:sz w:val="24"/>
    </w:rPr>
  </w:style>
  <w:style w:styleId="Style_24_ch" w:type="character">
    <w:name w:val="heading 4"/>
    <w:link w:val="Style_24"/>
    <w:rPr>
      <w:rFonts w:ascii="XO Thames" w:hAnsi="XO Thames"/>
      <w:b w:val="1"/>
      <w:sz w:val="24"/>
    </w:rPr>
  </w:style>
  <w:style w:styleId="Style_25" w:type="paragraph">
    <w:name w:val="heading 2"/>
    <w:next w:val="Style_1"/>
    <w:link w:val="Style_25_ch"/>
    <w:uiPriority w:val="9"/>
    <w:qFormat/>
    <w:pPr>
      <w:widowControl w:val="1"/>
      <w:spacing w:after="120" w:before="120"/>
      <w:ind/>
      <w:jc w:val="both"/>
      <w:outlineLvl w:val="1"/>
    </w:pPr>
    <w:rPr>
      <w:rFonts w:ascii="XO Thames" w:hAnsi="XO Thames"/>
      <w:b w:val="1"/>
      <w:sz w:val="28"/>
    </w:rPr>
  </w:style>
  <w:style w:styleId="Style_25_ch" w:type="character">
    <w:name w:val="heading 2"/>
    <w:link w:val="Style_25"/>
    <w:rPr>
      <w:rFonts w:ascii="XO Thames" w:hAnsi="XO Thames"/>
      <w:b w:val="1"/>
      <w:sz w:val="28"/>
    </w:rPr>
  </w:style>
  <w:style w:default="1" w:styleId="Style_26"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theme/theme1.xml" Type="http://schemas.openxmlformats.org/officeDocument/2006/relationships/theme"/>
  <Relationship Id="rId1" Target="fontTable.xml" Type="http://schemas.openxmlformats.org/officeDocument/2006/relationships/fontTable"/>
  <Relationship Id="rId2" Target="settings.xml" Type="http://schemas.openxmlformats.org/officeDocument/2006/relationships/settings"/>
  <Relationship Id="rId3" Target="styles.xml" Type="http://schemas.openxmlformats.org/officeDocument/2006/relationships/styles"/>
  <Relationship Id="rId4" Target="stylesWithEffects.xml" Type="http://schemas.microsoft.com/office/2007/relationships/stylesWithEffects"/>
  <Relationship Id="rId5" Target="webSettings.xml" Type="http://schemas.openxmlformats.org/officeDocument/2006/relationships/webSetting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MyOffice-CoreFramework-Linux/38-1384.1107.10199.1019.1@18975027e3ee4b688e27426d4a78178cb841a344</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2026-06-19T05:07:45Z</dcterms:created>
  <dcterms:modified xsi:type="dcterms:W3CDTF">2026-06-19T05:32:51Z</dcterms:modified>
</cp:coreProperties>
</file>