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22.12.2021 № 41-129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федеральными законами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w:t>
      </w:r>
      <w:r>
        <w:rPr>
          <w:rFonts w:ascii="times new roman"/>
          <w:color w:val="000000"/>
          <w:sz w:val="21"/>
          <w:rtl w:val="off"/>
          <w:lang w:val="en-US"/>
        </w:rPr>
        <w:t xml:space="preserve"> </w:t>
      </w:r>
      <w:r>
        <w:rPr>
          <w:rFonts w:ascii="times new roman"/>
          <w:color w:val="000000"/>
          <w:sz w:val="21"/>
          <w:rtl w:val="off"/>
          <w:lang w:val="en-US"/>
        </w:rPr>
        <w:t>отдельные законодательные акты Российской Федерации», от 08.11.2007 №</w:t>
      </w:r>
      <w:r>
        <w:rPr>
          <w:rFonts w:ascii="times new roman"/>
          <w:color w:val="000000"/>
          <w:sz w:val="21"/>
          <w:rtl w:val="off"/>
          <w:lang w:val="en-US"/>
        </w:rPr>
        <w:t xml:space="preserve"> </w:t>
      </w:r>
      <w:r>
        <w:rPr>
          <w:rFonts w:ascii="times new roman"/>
          <w:color w:val="000000"/>
          <w:sz w:val="21"/>
          <w:rtl w:val="off"/>
          <w:lang w:val="en-US"/>
        </w:rPr>
        <w:t>259-ФЗ «Устав автомобильного транспорта и городского наземного электрического транспорта», от 31.07.2020 248-ФЗ «О государственном контроле (надзоре) и муниципальном контроле в Российской Федерации»,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Утвердить прилагаемое Положение о муниципальном контроле</w:t>
      </w:r>
      <w:r>
        <w:rPr>
          <w:rFonts w:ascii="times new roman"/>
          <w:color w:val="000000"/>
          <w:sz w:val="21"/>
          <w:rtl w:val="off"/>
          <w:lang w:val="en-US"/>
        </w:rPr>
        <w:t xml:space="preserve"> </w:t>
      </w:r>
      <w:r>
        <w:rPr>
          <w:rFonts w:ascii="times new roman"/>
          <w:color w:val="000000"/>
          <w:sz w:val="21"/>
          <w:rtl w:val="off"/>
          <w:lang w:val="en-US"/>
        </w:rPr>
        <w:t xml:space="preserve">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w:t>
      </w:r>
      <w:r>
        <w:rPr>
          <w:rFonts w:ascii="times new roman"/>
          <w:color w:val="000000"/>
          <w:sz w:val="21"/>
          <w:rtl w:val="off"/>
          <w:lang w:val="en-US"/>
        </w:rPr>
        <w:t>Хабаровского муниципального района Хабаровского края (далее – 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2.Контроль за выполнением настоящего решения возложить на главу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Настоящее решение вступает в силу после его официального опубликования (обнародования), но не раннее 01.01.2022, за исключением положений раздела 6 Положения.</w:t>
      </w:r>
      <w:r>
        <w:rPr>
          <w:rFonts w:ascii="times new roman"/>
          <w:color w:val="000000"/>
          <w:sz w:val="21"/>
          <w:rtl w:val="off"/>
          <w:lang w:val="en-US"/>
        </w:rPr>
        <w:t xml:space="preserve"> </w:t>
      </w:r>
      <w:r>
        <w:rPr>
          <w:rFonts w:ascii="times new roman"/>
          <w:color w:val="000000"/>
          <w:sz w:val="21"/>
          <w:rtl w:val="off"/>
          <w:lang w:val="en-US"/>
        </w:rPr>
        <w:t>Раздел 6 Положения вступает в силу с 01.03.2022.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new roman"/>
          <w:color w:val="000000"/>
          <w:sz w:val="21"/>
          <w:lang w:val="en-US"/>
        </w:rPr>
      </w:pP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new roman"/>
          <w:color w:val="000000"/>
          <w:sz w:val="21"/>
          <w:lang w:val="en-US"/>
        </w:rPr>
      </w:pPr>
      <w:r>
        <w:rPr>
          <w:rFonts w:ascii="times new roman"/>
          <w:color w:val="000000"/>
          <w:sz w:val="21"/>
          <w:rtl w:val="off"/>
          <w:lang w:val="en-US"/>
        </w:rPr>
        <w:t>решением Совета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right"/>
        <w:rPr>
          <w:rFonts w:ascii="times new roman"/>
          <w:color w:val="000000"/>
          <w:sz w:val="21"/>
          <w:lang w:val="en-US"/>
        </w:rPr>
      </w:pPr>
      <w:r>
        <w:rPr>
          <w:rFonts w:ascii="times new roman"/>
          <w:color w:val="000000"/>
          <w:sz w:val="21"/>
          <w:rtl w:val="off"/>
          <w:lang w:val="en-US"/>
        </w:rPr>
        <w:t>от 22.12.2021 № 41-129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 муниципальном контроле</w:t>
      </w:r>
      <w:r>
        <w:rPr>
          <w:rFonts w:ascii="times new roman"/>
          <w:color w:val="000000"/>
          <w:sz w:val="21"/>
          <w:rtl w:val="off"/>
          <w:lang w:val="en-US"/>
        </w:rPr>
        <w:t xml:space="preserve"> </w:t>
      </w:r>
      <w:r>
        <w:rPr>
          <w:rFonts w:ascii="times new roman"/>
          <w:color w:val="000000"/>
          <w:sz w:val="21"/>
          <w:rtl w:val="off"/>
          <w:lang w:val="en-US"/>
        </w:rPr>
        <w:t xml:space="preserve">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Настоящее Положение устанавливает порядок организации и осуществления муниципального контроля</w:t>
      </w:r>
      <w:r>
        <w:rPr>
          <w:rFonts w:ascii="times new roman"/>
          <w:color w:val="000000"/>
          <w:sz w:val="21"/>
          <w:rtl w:val="off"/>
          <w:lang w:val="en-US"/>
        </w:rPr>
        <w:t xml:space="preserve"> </w:t>
      </w:r>
      <w:r>
        <w:rPr>
          <w:rFonts w:ascii="times new roman"/>
          <w:color w:val="000000"/>
          <w:sz w:val="21"/>
          <w:rtl w:val="off"/>
          <w:lang w:val="en-US"/>
        </w:rPr>
        <w:t xml:space="preserve">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w:t>
      </w:r>
      <w:r>
        <w:rPr>
          <w:rFonts w:ascii="times new roman"/>
          <w:color w:val="000000"/>
          <w:sz w:val="21"/>
          <w:rtl w:val="off"/>
          <w:lang w:val="en-US"/>
        </w:rPr>
        <w:t>Хабаровского муниципального района Хабаровского края (далее – муниципальный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Предметом муниципального контроля является соблюдение юридическими лицами, индивидуальными предпринимателями и физическими лицами (далее – контролируемые лица)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75"/>
        <w:jc w:val="both"/>
        <w:rPr>
          <w:rFonts w:ascii="times new roman"/>
          <w:color w:val="000000"/>
          <w:sz w:val="21"/>
          <w:lang w:val="en-US"/>
        </w:rPr>
      </w:pPr>
      <w:r>
        <w:rPr>
          <w:rFonts w:ascii="times new roman"/>
          <w:color w:val="000000"/>
          <w:sz w:val="21"/>
          <w:rtl w:val="off"/>
          <w:lang w:val="en-US"/>
        </w:rPr>
        <w:t>1) в области автомобильной и дорожной деятельности, установленных в отношении автомобильных дорог местного значения</w:t>
      </w:r>
      <w:r>
        <w:rPr>
          <w:rFonts w:ascii="times new roman"/>
          <w:color w:val="000000"/>
          <w:sz w:val="21"/>
          <w:rtl w:val="off"/>
          <w:lang w:val="en-US"/>
        </w:rPr>
        <w:t xml:space="preserve"> </w:t>
      </w:r>
      <w:r>
        <w:rPr>
          <w:rFonts w:ascii="times new roman"/>
          <w:color w:val="000000"/>
          <w:sz w:val="21"/>
          <w:rtl w:val="off"/>
          <w:lang w:val="en-US"/>
        </w:rPr>
        <w:t xml:space="preserve">в границах населенных пунктов Мирненского сельского поселения </w:t>
      </w:r>
      <w:r>
        <w:rPr>
          <w:rFonts w:ascii="times new roman"/>
          <w:color w:val="000000"/>
          <w:sz w:val="21"/>
          <w:rtl w:val="off"/>
          <w:lang w:val="en-US"/>
        </w:rPr>
        <w:t>Хабаровского муниципального района Хабаровского края (далее – сельское поселение):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75"/>
        <w:jc w:val="both"/>
        <w:rPr>
          <w:rFonts w:ascii="times new roman"/>
          <w:color w:val="000000"/>
          <w:sz w:val="21"/>
          <w:lang w:val="en-US"/>
        </w:rPr>
      </w:pPr>
      <w:r>
        <w:rPr>
          <w:rFonts w:ascii="times new roman"/>
          <w:color w:val="000000"/>
          <w:sz w:val="21"/>
          <w:rtl w:val="off"/>
          <w:lang w:val="en-US"/>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75"/>
        <w:jc w:val="both"/>
        <w:rPr>
          <w:rFonts w:ascii="times new roman"/>
          <w:color w:val="000000"/>
          <w:sz w:val="21"/>
          <w:lang w:val="en-US"/>
        </w:rPr>
      </w:pPr>
      <w:r>
        <w:rPr>
          <w:rFonts w:ascii="times new roman"/>
          <w:color w:val="000000"/>
          <w:sz w:val="21"/>
          <w:rtl w:val="off"/>
          <w:lang w:val="en-US"/>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Предметом муниципального контроля является также исполнение решений, принимаемых по результатам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Объектами муниципального контроля (далее – объект контроля)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1.3.1. Деятельность, действия (бездействие) контролируемых лиц</w:t>
      </w:r>
      <w:r>
        <w:rPr>
          <w:rFonts w:ascii="times new roman"/>
          <w:color w:val="000000"/>
          <w:sz w:val="21"/>
          <w:rtl w:val="off"/>
          <w:lang w:val="en-US"/>
        </w:rPr>
        <w:t xml:space="preserve"> </w:t>
      </w:r>
      <w:r>
        <w:rPr>
          <w:rFonts w:ascii="times new roman"/>
          <w:color w:val="000000"/>
          <w:sz w:val="21"/>
          <w:rtl w:val="off"/>
          <w:lang w:val="en-US"/>
        </w:rPr>
        <w:t>на автомобильном транспорте, городском наземном электрическом транспорте и в дорожном хозяйстве</w:t>
      </w:r>
      <w:r>
        <w:rPr>
          <w:rFonts w:ascii="times new roman"/>
          <w:color w:val="000000"/>
          <w:sz w:val="21"/>
          <w:rtl w:val="off"/>
          <w:lang w:val="en-US"/>
        </w:rPr>
        <w:t xml:space="preserve">,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1.3.2. Результаты деятельности контролируемых лиц, в том числе работы и услуги, к которым предъявляются обязательные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1.3.3. Здания, строения, сооружения, территории, включая земельные участки, предметы и другие объекты, которыми контролируемые лица владеют и (или) пользуются и к которым предъявляются обязательные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В соответствии с частью 2 статьи 16 и частью 5 статьи 17 Федерального закона от 31.07.2020 г. № 248-ФЗ «О государственном контроле (надзоре) и муниципальном контроле в Российской Федерации» (далее – Закон № 248-ФЗ) контрольным органом ведется учет объектов контроля с использованием информационной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Муниципальный контроль осуществляется администрацией</w:t>
      </w:r>
      <w:r>
        <w:rPr>
          <w:rFonts w:ascii="times new roman"/>
          <w:color w:val="000000"/>
          <w:sz w:val="21"/>
          <w:rtl w:val="off"/>
          <w:lang w:val="en-US"/>
        </w:rPr>
        <w:t xml:space="preserve"> </w:t>
      </w:r>
      <w:r>
        <w:rPr>
          <w:rFonts w:ascii="times new roman"/>
          <w:color w:val="000000"/>
          <w:sz w:val="21"/>
          <w:rtl w:val="off"/>
          <w:lang w:val="en-US"/>
        </w:rPr>
        <w:t xml:space="preserve">Мирненского </w:t>
      </w:r>
      <w:r>
        <w:rPr>
          <w:rFonts w:ascii="times new roman"/>
          <w:color w:val="000000"/>
          <w:sz w:val="21"/>
          <w:rtl w:val="off"/>
          <w:lang w:val="en-US"/>
        </w:rPr>
        <w:t>сельского поселения Хабаровского муниципального района Хабаровского края в (далее – Контрольный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Руководство деятельностью по осуществлению муниципального контроля осуществляет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 От имени Контрольного органа муниципальный контроль вправе осуществлять следующие должностные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 глава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сотрудники администрации</w:t>
      </w:r>
      <w:r>
        <w:rPr>
          <w:rFonts w:ascii="times new roman"/>
          <w:color w:val="000000"/>
          <w:sz w:val="21"/>
          <w:rtl w:val="off"/>
          <w:lang w:val="en-US"/>
        </w:rPr>
        <w:t xml:space="preserve"> </w:t>
      </w:r>
      <w:r>
        <w:rPr>
          <w:rFonts w:ascii="times new roman"/>
          <w:color w:val="000000"/>
          <w:sz w:val="21"/>
          <w:rtl w:val="off"/>
          <w:lang w:val="en-US"/>
        </w:rPr>
        <w:t xml:space="preserve">Мирненского </w:t>
      </w:r>
      <w:r>
        <w:rPr>
          <w:rFonts w:ascii="times new roman"/>
          <w:color w:val="000000"/>
          <w:sz w:val="21"/>
          <w:rtl w:val="off"/>
          <w:lang w:val="en-US"/>
        </w:rPr>
        <w:t>сельского поселения, в должностные обязанности которых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 инспекторы).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Перечень должностных лиц Контрольного органа, уполномоченных на осуществление муниципального контроля, установлен приложением № 1 к настоящему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 Инспектор при осуществлении муниципального контроля имеет права, обязанности, ограничения, запреты и несет ответственность в соответствии с Законом № 248-ФЗ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 Информирование контролируемых лиц о совершаемых уполномоченными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158" w:right="0" w:firstLine="0"/>
        <w:jc w:val="left"/>
        <w:rPr>
          <w:rFonts w:ascii="times new roman"/>
          <w:color w:val="000000"/>
          <w:sz w:val="21"/>
          <w:lang w:val="en-US"/>
        </w:rPr>
      </w:pPr>
      <w:r>
        <w:rPr>
          <w:rFonts w:ascii="times new roman"/>
          <w:color w:val="000000"/>
          <w:sz w:val="21"/>
          <w:rtl w:val="off"/>
          <w:lang w:val="en-US"/>
        </w:rPr>
        <w:t>2. Категории риска причинения вреда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значительный риск;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средний риск;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умеренный риск;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низкий риск.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 Критерии отнесения объектов контроля к категориям риска в рамках осуществления муниципального контроля установлены приложением № 2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2.5. В случае если объект контроля не отнесен к определенной категории риска, он считается отнесенным к категории низкого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2.6. Контрольный орган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3. Виды профилактических мероприятий, которые проводятся при осуществлении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осуществлении муниципального контроля Контрольный орган проводит следующие виды профилактических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обобщение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объявление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консультирование;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профилактический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Закона № 248-ФЗ, на своем официальном сайте в сети «Интернет»</w:t>
      </w:r>
      <w:r>
        <w:rPr>
          <w:rFonts w:ascii="times new roman"/>
          <w:color w:val="000000"/>
          <w:sz w:val="21"/>
          <w:rtl w:val="off"/>
          <w:lang w:val="en-US"/>
        </w:rPr>
        <w:t xml:space="preserve"> </w:t>
      </w:r>
      <w:r>
        <w:fldChar w:fldCharType="begin"/>
      </w:r>
      <w:r>
        <w:instrText xml:space="preserve"> HYPERLINK "https://mirnoeadm.ru/" </w:instrText>
      </w:r>
      <w:r>
        <w:fldChar w:fldCharType="separate"/>
      </w:r>
      <w:r>
        <w:rPr>
          <w:rFonts w:ascii="times new roman"/>
          <w:color w:val="6d6d6d"/>
          <w:sz w:val="21"/>
          <w:u w:val="single"/>
          <w:rtl w:val="off"/>
          <w:lang w:val="en-US"/>
        </w:rPr>
        <w:t>https://mirnoeadm.ru</w:t>
      </w:r>
      <w:r>
        <w:fldChar w:fldCharType="end"/>
      </w:r>
      <w:r>
        <w:rPr>
          <w:rFonts w:ascii="times new roman"/>
          <w:color w:val="000000"/>
          <w:sz w:val="21"/>
          <w:rtl w:val="off"/>
          <w:lang w:val="en-US"/>
        </w:rPr>
        <w:t xml:space="preserve"> </w:t>
      </w:r>
      <w:r>
        <w:rPr>
          <w:rFonts w:ascii="times new roman"/>
          <w:color w:val="000000"/>
          <w:sz w:val="21"/>
          <w:rtl w:val="off"/>
          <w:lang w:val="en-US"/>
        </w:rPr>
        <w:t xml:space="preserve">(далее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3.1.2. Обобщение правоприменительной практики организации и проведения муниципального контроля осуществляется ежегодно.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Контрольный орган обеспечивает публичное обсуждение проекта доклада.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Доклад утверждается постановлением главы сельского поселения и размещается на официальном сайте ежегодно не позднее 30 января года, следующего за годом обобщения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 Предостережение о недопустимости нарушения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3.2.3. Контролируемое лицо в течение 10 рабочих дней со дня получения предостережения вправе подать в Контрольный орган возражение в отношении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3.2.4. Возражение должно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наименование Контрольного органа, в который направляется возражение;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дату и номер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доводы, на основании которых контролируемое лицо не согласно с объявленным предостережением;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дату получения предостережения контролируемым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личную подпись и дату.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3.2.6. Контрольный орган рассматривает возражение в отношении предостережения в течение 15 рабочих дней со дня его получения.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3.2.7. По результатам рассмотрения возражения Контрольный орган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удовлетворяет возражение в форме отмены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отказывает в удовлетворении возражения с указанием причины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3.2.8. Контрольный орган информирует контролируемое лицо о результатах рассмотрения возражения не позднее 5</w:t>
      </w:r>
      <w:r>
        <w:rPr>
          <w:rFonts w:ascii="times new roman"/>
          <w:color w:val="000000"/>
          <w:sz w:val="21"/>
          <w:rtl w:val="off"/>
          <w:lang w:val="en-US"/>
        </w:rPr>
        <w:t xml:space="preserve"> </w:t>
      </w:r>
      <w:r>
        <w:rPr>
          <w:rFonts w:ascii="times new roman"/>
          <w:color w:val="000000"/>
          <w:sz w:val="21"/>
          <w:rtl w:val="off"/>
          <w:lang w:val="en-US"/>
        </w:rPr>
        <w:t>рабочих дней со дня рассмотрения возражения в отношении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3.2.9. Повторное направление возражения по тем же основаниям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3.3. Консультирование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times new roman"/>
          <w:color w:val="000000"/>
          <w:sz w:val="21"/>
          <w:lang w:val="en-US"/>
        </w:rPr>
      </w:pPr>
      <w:r>
        <w:rPr>
          <w:rFonts w:ascii="times new roman"/>
          <w:color w:val="000000"/>
          <w:sz w:val="21"/>
          <w:rtl w:val="off"/>
          <w:lang w:val="en-US"/>
        </w:rPr>
        <w:t>1) порядка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times new roman"/>
          <w:color w:val="000000"/>
          <w:sz w:val="21"/>
          <w:lang w:val="en-US"/>
        </w:rPr>
      </w:pPr>
      <w:r>
        <w:rPr>
          <w:rFonts w:ascii="times new roman"/>
          <w:color w:val="000000"/>
          <w:sz w:val="21"/>
          <w:rtl w:val="off"/>
          <w:lang w:val="en-US"/>
        </w:rPr>
        <w:t>2) периодичности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times new roman"/>
          <w:color w:val="000000"/>
          <w:sz w:val="21"/>
          <w:lang w:val="en-US"/>
        </w:rPr>
      </w:pPr>
      <w:r>
        <w:rPr>
          <w:rFonts w:ascii="times new roman"/>
          <w:color w:val="000000"/>
          <w:sz w:val="21"/>
          <w:rtl w:val="off"/>
          <w:lang w:val="en-US"/>
        </w:rPr>
        <w:t>3) порядка принятия решений по итогам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times new roman"/>
          <w:color w:val="000000"/>
          <w:sz w:val="21"/>
          <w:lang w:val="en-US"/>
        </w:rPr>
      </w:pPr>
      <w:r>
        <w:rPr>
          <w:rFonts w:ascii="times new roman"/>
          <w:color w:val="000000"/>
          <w:sz w:val="21"/>
          <w:rtl w:val="off"/>
          <w:lang w:val="en-US"/>
        </w:rPr>
        <w:t>4) порядка обжалования решений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3.3.2. Инспекторы осуществляют консультирование контролируемых лиц и их представителей: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посредством размещения на официальном сайте письменного разъяснения по однотипным обращениям (более 3 однотипных обращений) контролируемых лиц и их представителей, подписанного уполномоченным лицом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3.3.3. Индивидуальное консультирование на личном приеме каждого заявителя инспекторами не может превышать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Время разговора по телефону не должно превышать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3.3.5. Письменное консультирование контролируемых лиц и их представителей осуществляется по следующим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порядок обжалования решений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организация и осуществление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3.3.7. Контрольный орган осуществляет учет проведенных консультирований.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3.4. Профилактический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Продолжительность профилактического визита составляет не более двух часов в течение рабочего дня.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3.4.2. Инспектор проводит обязательный профилактический визит в отношении: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контролируемых лиц, приступающих к осуществлению деятельности в сфере</w:t>
      </w:r>
      <w:r>
        <w:rPr>
          <w:rFonts w:ascii="times new roman"/>
          <w:color w:val="000000"/>
          <w:sz w:val="21"/>
          <w:rtl w:val="off"/>
          <w:lang w:val="en-US"/>
        </w:rPr>
        <w:t xml:space="preserve"> </w:t>
      </w:r>
      <w:r>
        <w:rPr>
          <w:rFonts w:ascii="times new roman"/>
          <w:color w:val="000000"/>
          <w:sz w:val="21"/>
          <w:rtl w:val="off"/>
          <w:lang w:val="en-US"/>
        </w:rPr>
        <w:t>автомобильного транспорта, городского наземного электрического транспорта и в дорожном хозяйстве в границах населенных пунктов сельского поселения</w:t>
      </w:r>
      <w:r>
        <w:rPr>
          <w:rFonts w:ascii="times new roman"/>
          <w:color w:val="000000"/>
          <w:sz w:val="21"/>
          <w:rtl w:val="off"/>
          <w:lang w:val="en-US"/>
        </w:rPr>
        <w:t>, не позднее чем в течение одного года с момента начала такой деятельности (при наличии сведений о начале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3.4.3. Профилактические визиты проводятся по согласованию с контролируемыми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 Акт оформляется непосредственно после завершения профилактического визита в двух экземплярах, один из которых вручается Контролируемому лицу.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3.4.6. Контрольный орган осуществляет учет проведенных профилактических визитов.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 Контрольные мероприятия, проводимые в рамках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4.1. Контрольные мероприятия. Общие вопросы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 Муниципальный контроль осуществляется Контрольным органом посредством организации проведения следующих внеплановых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инспекционный визит;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документарная проверка;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выездная проверка – при взаимодействии с контролируемыми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 наблюдение за соблюдением обязательных требований (мониторинг безопасности).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4.1.2. При осуществлении муниципального контроля взаимодействием с контролируемыми лицами являются: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запрос документов, иных материалов;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4.1.4. Плановые контрольные (надзорные) мероприятия при осуществлении данного муниципального контроля не проводятся.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истребование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инструментальное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4.1.6.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w:t>
      </w:r>
      <w:r>
        <w:rPr>
          <w:rFonts w:ascii="times new roman"/>
          <w:color w:val="000000"/>
          <w:sz w:val="21"/>
          <w:rtl w:val="off"/>
          <w:lang w:val="en-US"/>
        </w:rPr>
        <w:t xml:space="preserve">              </w:t>
      </w:r>
      <w:r>
        <w:rPr>
          <w:rFonts w:ascii="times new roman"/>
          <w:color w:val="000000"/>
          <w:sz w:val="21"/>
          <w:rtl w:val="off"/>
          <w:lang w:val="en-US"/>
        </w:rPr>
        <w:t xml:space="preserve">№ 248-ФЗ.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4.1.7. Контрольные мероприятия проводятся инспекторами, указанными в решении Контрольного органа о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4.1.8.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4.1.9. Документы, иные материалы, являющиеся доказательствами нарушения обязательных требований, приобщаются к акту.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Заполненные при проведении контрольного мероприятия проверочные листы должны быть приобщены к акту.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4.1.10.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4.1.11.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4.1.12.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 Меры, принимаемые Контрольным органом по результатам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5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w:t>
      </w:r>
      <w:r>
        <w:rPr>
          <w:rFonts w:ascii="times new roman"/>
          <w:color w:val="000000"/>
          <w:sz w:val="21"/>
          <w:rtl w:val="off"/>
          <w:lang w:val="en-US"/>
        </w:rPr>
        <w:t xml:space="preserve">  </w:t>
      </w:r>
      <w:r>
        <w:rPr>
          <w:rFonts w:ascii="times new roman"/>
          <w:color w:val="000000"/>
          <w:sz w:val="21"/>
          <w:rtl w:val="off"/>
          <w:lang w:val="en-US"/>
        </w:rPr>
        <w:t>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при выявлении признаков административного правонарушения решить вопрос об инициировании возбуждения дела об административном правонарушении в порядке, установленном Кодексом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4.2.2. Предписание оформляется по форме согласно приложению № 3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если проводится оценка исполнения решения, принятого по итогам выездной проверки, допускается проведение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4.2.7.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4.4. Внеплановые контрольные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4.4.2. Решение о проведении внепланового контрольного мероприятия принимается с учетом индикаторов риска нарушения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Закона</w:t>
      </w:r>
      <w:r>
        <w:rPr>
          <w:rFonts w:ascii="times new roman"/>
          <w:color w:val="000000"/>
          <w:sz w:val="21"/>
          <w:rtl w:val="off"/>
          <w:lang w:val="en-US"/>
        </w:rPr>
        <w:t xml:space="preserve">      </w:t>
      </w:r>
      <w:r>
        <w:rPr>
          <w:rFonts w:ascii="times new roman"/>
          <w:color w:val="000000"/>
          <w:sz w:val="21"/>
          <w:rtl w:val="off"/>
          <w:lang w:val="en-US"/>
        </w:rPr>
        <w:t>№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4.5. Документарная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4.5.3. Срок проведения документарной проверки не может превышать десять рабочих дней.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указанный срок не включается период с момента: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период с момента направления контролируемому лицу информации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 выявлении ошибок и (или) противоречий в представленных контролируемым лицом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4.5.4. Перечень допустимых контрольных действий, совершаемых в ходе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истребование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Контролируемое лицо в течение 10 рабочих дней со дня получения данного требования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4.5.6. Письменные объяснения могут быть запрошены инспектором от контролируемого лица или его представителя, свидетелей.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Указанные лица предоставляют инспектору письменные объяснения в свободной форме не позднее двух рабочих дней до даты завершения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Письменные объяснения оформляются путем составления письменного документа в свободной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4.5.7. Экспертиза осуществляется экспертом или экспертной организацией по поручению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Результаты экспертизы оформляются экспертным заключением по форме, утвержденной Контрольным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4.5.8. Оформление акта производится по месту нахождения Контрольного органа в день окончания проведения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4.5.9. Акт направляется Контрольным органом контролируемому лицу в срок не позднее десяти рабочих дней после окончания документарной проверки в порядке, предусмотренном статьей 21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4.5.10. Внеплановая документарная проверка проводится без согласования с органами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4.6. Выездная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Выездная проверка может проводиться с использованием средств дистанционного взаимодействия, в том числе посредством аудио- или видеосвязи.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4.6.2. Выездная проверка проводится в случае, если не представляется возможным: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4.6.6. Срок проведения выездной проверки составляет не более десяти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4.6.7. Перечень допустимых контрольных действий в ходе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досмотр;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истребование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отбор проб (образцов);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инструментальное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4.6.8. Осмотр осуществляется инспектором в присутствии контролируемого лица и (или) его представителя с обязательным применением видеозаписи.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 результатам осмотра составляется протокол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4.6.11. 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4.5.7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4.6.12. По окончании проведения выездной проверки инспектор составляет акт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Информация о проведении фотосъемки, аудио- и видеозаписи отражается в акте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Законом № 248-ФЗ.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временной нетрудоспособности;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необходимости явки по вызову (извещениям, повесткам) судов, правоохранительных органов, военных комиссариатов;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нахождения в служебной командировке.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4.7. Инспекционный визит, рейдовый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Инспекционный визит проводится без предварительного уведомления контролируемого лица и собственника производственного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Контролируемые лица или их представители обязаны обеспечить беспрепятственный доступ инспектора в здания, сооружения,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4.7.2. Перечень допустимых контрольных действий в ходе инспекционного визита: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Срок взаимодействия с одним контролируемым лицом в период проведения рейдового осмотра не может превышать один рабочий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4.7.5. Перечень допустимых контрольных действий в ходе рейдового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получение письменных объяснений;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истребование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4.7.9. Контрольные действия, предусмотренные пунктами 4.7.2 и 4.7.5 настоящего Положения, осуществляются в соответствии с пунктами 4.5.5 - 4.5.7, 4.6.8 - 4.6.10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color w:val="000000"/>
          <w:sz w:val="21"/>
          <w:rtl w:val="off"/>
          <w:lang w:val="en-US"/>
        </w:rPr>
        <w:t>4.8. Наблюдение за соблюдением обязательных требований (мониторинг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решение о проведении внепланового контрольного (надзорного) мероприятия в соответствии со статьей 60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решение об объявлении предостережения;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решение о выдаче предписания об устранении выявленных нарушений в порядке, предусмотренном пунктом 1 части 2 статьи 90 Закона № 248-ФЗ, в случае указания такой возможности в федеральном законе о виде контроля, законе субъекта Российской Федерации о виде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закрепленное в федеральном законе о виде контроля, законе субъекта Российской Федерации о виде контроля в соответствии с частью 3 статьи 90 Закона № 248-ФЗ, в случае указания такой возможности в федеральном законе о виде контроля, законе субъекта Российской Федерации о виде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4.9. Выездное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4.9.1. Выездное обследование проводится в целях оценки соблюдения контролируемыми лицами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4.9.3. Выездное обследование проводится без информирования контролируемого лица.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 Досудебное обжалование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решений о проведении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актов контрольных мероприятий, предписаний об устранении выявленных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действий (бездействия) должностных лиц в рамках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Материалы, прикладываемые к жалобе, в том числе фото и видеоматериалы, представляются контролируемым лицом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5.7. Жалоба может содержать ходатайство о приостановлении исполнения обжалуемого решения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 приостановлении исполнения обжалуемого решения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об отказе в приостановлении исполнения обжалуемого решения Контрольного органа.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3" w:right="0" w:firstLine="0"/>
        <w:jc w:val="both"/>
        <w:rPr>
          <w:rFonts w:ascii="times new roman"/>
          <w:color w:val="000000"/>
          <w:sz w:val="21"/>
          <w:lang w:val="en-US"/>
        </w:rPr>
      </w:pPr>
      <w:r>
        <w:rPr>
          <w:rFonts w:ascii="times new roman"/>
          <w:color w:val="000000"/>
          <w:sz w:val="21"/>
          <w:rtl w:val="off"/>
          <w:lang w:val="en-US"/>
        </w:rPr>
        <w:t>5.9.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требования контролируемого лица, подавшего жалобу;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 Контрольный орган принимает решение об отказе в рассмотрении жалобы в течение пяти рабочих дней со дня получения жалобы, если: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удовлетворении ходатайства о восстановлении пропущенного срока на подачу жалобы отказано;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до принятия решения по жалобе от контролируемого лица, ее подавшего, поступило заявление об отзыве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имеется решение суда по вопросам, поставленным в жалобе;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ранее в Контрольный орган была подана другая жалоба от того же контролируемого лица по тем же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жалоба подана в ненадлежащий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законодательством Российской Федерации предусмотрен только судебный порядок обжалования решений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5.15 Жалоба подлежит рассмотрению руководителем (заместителем руководителя) Контрольного органа в течение 20 рабочих дней со дня ее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5.16. Указанный срок может быть продлен на 20 рабочих дней, в следующих исключительных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проведение в отношении должностного лица, действия (бездействия) которого обжалуются служебной проверки по фактам, указанным в жалобе;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отсутствие должностного лица, действия (бездействия) которого обжалуются, по уважительной причине (болезнь, отпуск, командировка).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5.20. По итогам рассмотрения жалобы руководитель (заместитель руководителя) Контрольного органа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оставляет жалобу без удовлетворения;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отменяет решение Контрольного органа полностью или частично;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отменяет решение Контрольного органа полностью и принимает новое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6. Ключевые показатели вида контроля и их целевые значения для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Ключевые показатели муниципального контроля и их целевые значения, индикативные показатели установлены приложением № 4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402"/>
        <w:jc w:val="right"/>
        <w:rPr>
          <w:rFonts w:ascii="times new roman"/>
          <w:color w:val="000000"/>
          <w:sz w:val="21"/>
          <w:lang w:val="en-US"/>
        </w:rPr>
      </w:pPr>
      <w:r>
        <w:rPr>
          <w:rFonts w:ascii="times new roman"/>
          <w:color w:val="000000"/>
          <w:sz w:val="21"/>
          <w:rtl w:val="off"/>
          <w:lang w:val="en-US"/>
        </w:rPr>
        <w:t xml:space="preserve">Приложение № 1 к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Перечень должностных лиц</w:t>
      </w:r>
      <w:r>
        <w:rPr>
          <w:rFonts w:ascii="times new roman"/>
          <w:color w:val="000000"/>
          <w:sz w:val="21"/>
          <w:rtl w:val="off"/>
          <w:lang w:val="en-US"/>
        </w:rPr>
        <w:t xml:space="preserve"> </w:t>
      </w:r>
      <w:r>
        <w:rPr>
          <w:rFonts w:ascii="times new roman"/>
          <w:color w:val="000000"/>
          <w:sz w:val="21"/>
          <w:rtl w:val="off"/>
          <w:lang w:val="en-US"/>
        </w:rPr>
        <w:t>администрации сельского поселения</w:t>
      </w:r>
      <w:r>
        <w:rPr>
          <w:rFonts w:ascii="times new roman"/>
          <w:color w:val="000000"/>
          <w:sz w:val="21"/>
          <w:rtl w:val="off"/>
          <w:lang w:val="en-US"/>
        </w:rPr>
        <w:t xml:space="preserve">, уполномоченных на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 Главный специалист;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Специалист 1-й категории;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3.Специалист 2-й категории.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402" w:right="0" w:firstLine="0"/>
        <w:jc w:val="right"/>
        <w:rPr>
          <w:rFonts w:ascii="times new roman"/>
          <w:color w:val="000000"/>
          <w:sz w:val="21"/>
          <w:lang w:val="en-US"/>
        </w:rPr>
      </w:pPr>
      <w:r>
        <w:rPr>
          <w:rFonts w:ascii="times new roman"/>
          <w:color w:val="000000"/>
          <w:sz w:val="21"/>
          <w:rtl w:val="off"/>
          <w:lang w:val="en-US"/>
        </w:rPr>
        <w:t xml:space="preserve">Приложение № 2 к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Критерии отнесения объектов контроля к категориям риска в рамках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 xml:space="preserve">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 xml:space="preserve">Объекты муниципального контроля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Хабаровского края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Категория риска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Значительный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Средний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Умеренный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Низкий риск</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402" w:right="0" w:firstLine="0"/>
        <w:jc w:val="right"/>
        <w:rPr>
          <w:rFonts w:ascii="times new roman"/>
          <w:color w:val="000000"/>
          <w:sz w:val="21"/>
          <w:lang w:val="en-US"/>
        </w:rPr>
      </w:pPr>
      <w:r>
        <w:rPr>
          <w:rFonts w:ascii="times new roman"/>
          <w:color w:val="000000"/>
          <w:sz w:val="21"/>
          <w:rtl w:val="off"/>
          <w:lang w:val="en-US"/>
        </w:rPr>
        <w:t xml:space="preserve">Приложение № 3 к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b/>
          <w:color w:val="000000"/>
          <w:sz w:val="15"/>
          <w:rtl w:val="off"/>
          <w:lang w:val="en-US"/>
        </w:rPr>
        <w:t>Форма предписания Контрольного органа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Бланк Контрольного органа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(указывается должность руководителя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(указывается полное наименование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(указывается фамилия, имя, отчество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(при наличии) руководителя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
              <w:jc w:val="center"/>
              <w:rPr>
                <w:rFonts w:ascii="times new roman"/>
                <w:color w:val="000000"/>
                <w:sz w:val="15"/>
                <w:lang w:val="en-US"/>
              </w:rPr>
            </w:pPr>
            <w:r>
              <w:rPr>
                <w:rFonts w:ascii="times new roman"/>
                <w:color w:val="000000"/>
                <w:sz w:val="15"/>
                <w:rtl w:val="off"/>
                <w:lang w:val="en-US"/>
              </w:rPr>
              <w:t>(указывается адрес места нахождения контролируемого лица)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ПРЕДПИСАНИЕ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(указывается полное наименование контролируемого лица в дательном падеже)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об устранении выявленных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По результатам 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(указываются вид и форма контрольного мероприятия в соответствии с решением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проведенной 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i/>
          <w:color w:val="000000"/>
          <w:sz w:val="15"/>
          <w:rtl w:val="off"/>
          <w:lang w:val="en-US"/>
        </w:rPr>
        <w:t>(указывается полное наименование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в отношении 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i/>
          <w:color w:val="000000"/>
          <w:sz w:val="15"/>
          <w:rtl w:val="off"/>
          <w:lang w:val="en-US"/>
        </w:rPr>
        <w:t>(указывается полное наименование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в период с «__» _________________ 20__ г. по «__» _________________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 основании 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(указываются наименование и реквизиты акта Контрольного органа о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выявлены нарушения обязательных требований ________________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 основании изложенного, в соответствии с пунктом 1 части 2 статьи 90 Федерального закона от 31.07.2020 № 248-ФЗ «О государственном контроле (надзоре) и муниципальном контроле в Российской Федерации» 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(указывается полное наименование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предписывает: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1. Устранить выявленные нарушения обязательных требований в срок до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«______» ______________ 20_____ г.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2. Уведомить 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i/>
          <w:color w:val="000000"/>
          <w:sz w:val="15"/>
          <w:rtl w:val="off"/>
          <w:lang w:val="en-US"/>
        </w:rPr>
        <w:t>(указывается полное наименование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до «__» _______________ 20_____ г.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Неисполнение настоящего предписания в установленный срок влечет ответственность, установленную законодательством Российской Федерации.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__________________</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_______________________</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18"/>
                <w:lang w:val="en-US"/>
              </w:rPr>
            </w:pPr>
            <w:r>
              <w:rPr>
                <w:rFonts w:ascii="times new roman"/>
                <w:color w:val="000000"/>
                <w:sz w:val="18"/>
                <w:rtl w:val="off"/>
                <w:lang w:val="en-US"/>
              </w:rPr>
              <w:t>__________________</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(должность лица, уполномоченного на проведение контрольных мероприятий)</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(подпись должностного лица, уполномоченного на проведение контрольных мероприятий)</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(фамилия, имя, отчество (при наличии) должностного лица, уполномоченного на проведение контрольных мероприятий)</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402" w:right="0" w:firstLine="0"/>
        <w:jc w:val="right"/>
        <w:rPr>
          <w:rFonts w:ascii="times new roman"/>
          <w:color w:val="000000"/>
          <w:sz w:val="21"/>
          <w:lang w:val="en-US"/>
        </w:rPr>
      </w:pPr>
      <w:r>
        <w:rPr>
          <w:rFonts w:ascii="times new roman"/>
          <w:color w:val="000000"/>
          <w:sz w:val="21"/>
          <w:rtl w:val="off"/>
          <w:lang w:val="en-US"/>
        </w:rPr>
        <w:t xml:space="preserve">Приложение № 4 к Положению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Ключевые показатели вида контроля и их целевые значения, индикативные показатели для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1. Ключевые показатели и их целевые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Доля устраненных нарушений из числа выявленных нарушений обязательных требований - 70%.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Доля обоснованных жалоб на действия (бездействие) контрольного органа и (или) его должностного лица при проведении контрольных мероприятий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Доля отмененных результатов контрольных мероприятий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Доля вынесенных судебных решений о назначении административного наказания по материалам контрольного органа - 95%.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2. Индикативные показатели: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При осуществлении муниципального контроля на автомобильном транспорте, городском наземном электрическом транспорте и в дорожном хозяйстве в Хабаровском муниципальном районе устанавливаются следующие индикативные показатели: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количество проведенных внеплановых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количество поступивших возражений в отношении акта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количество выданных предписаний об устранении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количество устраненных нарушений обязательных требований.</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