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375" w:rsidRDefault="00352B72">
      <w:pPr>
        <w:pStyle w:val="a9"/>
        <w:shd w:val="clear" w:color="auto" w:fill="FFFFFF"/>
        <w:spacing w:before="0" w:after="0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АДМИНИСТРАЦИЯ</w:t>
      </w: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МИРНЕНСКОГО СЕЛЬСКОГО ПОСЕЛЕНИЯ</w:t>
      </w: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Хабаровского муниципального района</w:t>
      </w: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rStyle w:val="a3"/>
          <w:bCs/>
          <w:sz w:val="28"/>
          <w:szCs w:val="28"/>
        </w:rPr>
        <w:t>Хабаровского края</w:t>
      </w:r>
    </w:p>
    <w:p w:rsidR="00F70375" w:rsidRDefault="00F70375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F70375" w:rsidRDefault="00352B72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  <w:r>
        <w:rPr>
          <w:rStyle w:val="a3"/>
          <w:bCs/>
          <w:sz w:val="28"/>
          <w:szCs w:val="28"/>
        </w:rPr>
        <w:t>ПОСТАНОВЛЕНИЕ</w:t>
      </w:r>
    </w:p>
    <w:p w:rsidR="00F70375" w:rsidRDefault="00F70375">
      <w:pPr>
        <w:pStyle w:val="a9"/>
        <w:shd w:val="clear" w:color="auto" w:fill="FFFFFF"/>
        <w:spacing w:before="0" w:after="0"/>
        <w:jc w:val="center"/>
        <w:rPr>
          <w:b/>
          <w:sz w:val="28"/>
          <w:szCs w:val="28"/>
        </w:rPr>
      </w:pPr>
    </w:p>
    <w:p w:rsidR="00F70375" w:rsidRDefault="00352B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07.11.2023 № 200</w:t>
      </w:r>
    </w:p>
    <w:p w:rsidR="00F70375" w:rsidRDefault="00352B72">
      <w:pPr>
        <w:pStyle w:val="a9"/>
        <w:shd w:val="clear" w:color="auto" w:fill="FFFFFF"/>
        <w:spacing w:before="0" w:after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с. Мирное</w:t>
      </w:r>
    </w:p>
    <w:p w:rsidR="00F70375" w:rsidRDefault="00F7037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70375" w:rsidRDefault="00F7037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b/>
          <w:bCs/>
          <w:color w:val="FFFFFF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Об утверждении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– 2026 годы»</w:t>
      </w:r>
    </w:p>
    <w:p w:rsidR="00F70375" w:rsidRDefault="00F7037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F70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В соответствии с Федеральным законом Российской Федерации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эффективности», администрация Мирненского сельского поселения Хабаровского муниципального района Хабаровского края</w:t>
      </w:r>
      <w:proofErr w:type="gramEnd"/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ПОСТНОВЛЯЕТ: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 Утвердить </w:t>
      </w:r>
      <w:r w:rsidR="006E6460">
        <w:rPr>
          <w:rFonts w:ascii="Times New Roman" w:eastAsia="Times New Roman" w:hAnsi="Times New Roman"/>
          <w:sz w:val="28"/>
          <w:szCs w:val="28"/>
        </w:rPr>
        <w:t xml:space="preserve">прилагаемую </w:t>
      </w:r>
      <w:r>
        <w:rPr>
          <w:rFonts w:ascii="Times New Roman" w:eastAsia="Times New Roman" w:hAnsi="Times New Roman"/>
          <w:sz w:val="28"/>
          <w:szCs w:val="28"/>
        </w:rPr>
        <w:t>муниципальную Программу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– 2026 годы».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2. 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3. </w:t>
      </w:r>
      <w:r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rFonts w:ascii="Times New Roman" w:hAnsi="Times New Roman"/>
          <w:sz w:val="28"/>
          <w:szCs w:val="28"/>
        </w:rPr>
        <w:t xml:space="preserve">Мирненского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Мирненского </w:t>
      </w:r>
      <w:r>
        <w:rPr>
          <w:rFonts w:ascii="Times New Roman" w:hAnsi="Times New Roman"/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 w:hAnsi="Times New Roman"/>
          <w:sz w:val="28"/>
          <w:szCs w:val="28"/>
        </w:rPr>
        <w:t>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И.М. Байдакова</w:t>
      </w:r>
    </w:p>
    <w:p w:rsidR="00F70375" w:rsidRDefault="00352B72">
      <w:pPr>
        <w:pageBreakBefore/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УТВЕРЖДЕНА</w:t>
      </w:r>
    </w:p>
    <w:p w:rsidR="00F70375" w:rsidRDefault="00F7037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постановлением администрации</w:t>
      </w: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Мирненского сельского поселения</w:t>
      </w: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Хабаровского муниципального</w:t>
      </w: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района Хабаровского края</w:t>
      </w:r>
    </w:p>
    <w:p w:rsidR="00F70375" w:rsidRDefault="00F70375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07.11.2023 № 200</w:t>
      </w:r>
    </w:p>
    <w:p w:rsidR="00F70375" w:rsidRDefault="00F7037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Муниципальная программа</w:t>
      </w:r>
    </w:p>
    <w:p w:rsidR="00F70375" w:rsidRDefault="00352B72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2024-2026 годы»</w:t>
      </w:r>
    </w:p>
    <w:p w:rsidR="00F70375" w:rsidRDefault="00352B7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Паспорт Программы</w:t>
      </w:r>
    </w:p>
    <w:p w:rsidR="00F70375" w:rsidRDefault="00352B72">
      <w:pPr>
        <w:shd w:val="clear" w:color="auto" w:fill="FFFFFF"/>
        <w:spacing w:after="0" w:line="20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W w:w="0" w:type="auto"/>
        <w:tblInd w:w="-15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5"/>
        <w:gridCol w:w="4567"/>
      </w:tblGrid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– 2026 годы» (далее по тексту – Программа).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Федеральный закон от 23.11.2009 № 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Постановление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Заказчик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Мирненского сельского поселения Хабаровского муниципального района Хабаровского края.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Разработчик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Мирненского сельского поселения Хабаровского муниципального района Хабаровского края.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Повышение энергетической эффективности при потреблении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энергетических ресурсов бюджетными учреждениями и жилым фондом Мирненского сельского поселения за счет снижения удельных показателей энергоемкости и энергопотребления, создания условий для перевода экономики сельского поселения на энергосберегающий путь развития.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устойчивого процесса повышения эффективности энергопотребления, в том числе за счет запуска механизмов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хозяйствующих субъектов по реализации потенциала энергосбережения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.,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улучшить качество жизни людей.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Направление реализации программных мероприятий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Энергосбережение и повышение энергетической эффективности в бюджетном секторе поселения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2024- 2026 годы.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Исполнители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1D7A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2245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тыс. рублей – всего, средства местного бюджета: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2024 год – 1200 тыс. рублей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2025 год – 530 тыс. рублей;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2026 год – 515 тыс. рублей</w:t>
            </w:r>
          </w:p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 финансирования мероприятий в последующие годы определятся по результатам повторных энергетических обследований и в результате включения новых объектов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Система организации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реализацией мероприятий и проектов Программы, в том числе:</w:t>
            </w:r>
          </w:p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внутренний контроль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администрацией Мирненского сельского поселения по разработке, реализации и корректировке Программы.</w:t>
            </w:r>
          </w:p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внешний контроль через подсистемы Государственной информационной системы в области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(ФГУ "РЭА").</w:t>
            </w:r>
          </w:p>
        </w:tc>
      </w:tr>
      <w:tr w:rsidR="00F70375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Корректировка и уточнение Программы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375" w:rsidRDefault="00352B72">
            <w:pPr>
              <w:spacing w:after="0" w:line="200" w:lineRule="atLeast"/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Осуществляется заказчиком Программы ежегодно на основе результатов реализации Программы в прошедшем году и уточненных адресных планов реализации Программы в последующие годы.</w:t>
            </w:r>
          </w:p>
        </w:tc>
      </w:tr>
    </w:tbl>
    <w:p w:rsidR="00F70375" w:rsidRDefault="00352B72">
      <w:pPr>
        <w:shd w:val="clear" w:color="auto" w:fill="FFFFFF"/>
        <w:spacing w:after="0" w:line="20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1.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Технико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– экономическое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обоснование Программы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Основной проблемой, решению которой способствует муниципальная Программа, является отсутствие практики эффективного использования потребляемых ресурсов, недофинансирование расходов на содержание, модернизацию систем инженерной инфраструктуры бюджетных учреждений и жилого фонда поселения, отсутствие механизмов использования полученной экономии энергоресурсов.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Необходимость кардинально повысить эффективность потребления энергии как фактора, определяющего конкурентоспособность страны и ее регионов, была определена Указом Президента Российской Федерации от 04.06.2008 № 889 «О некоторых мерах по повышению энергетической и экологической эффективности Российской экономики».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рамках этого направления принят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план мероприятий по реализации Федерального закона, утвержденный Распоряжением Правительства Российской Федерации от 01.12.2009 № 1830-р.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условиях роста цен на топливные ресурсы и электроэнергию стоимость тепловой энергии, производимой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энергоснабжающими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организациями, в период до 2026 года повысится в полтора и более раз. 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>Близкие значения дает прогноз темпов роста стоимости услуг НПО водоснабжения и водоотведения.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этих условиях одной из основных угроз социально – экономическому развитию Мирненского сельского поселения становится снижение конкурентоспособности предприятий, эффективности муниципального управления в сельском поселении, вызванное ростом затрат на оплату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топливно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– энергетических и коммунальных ресурсов. Это может привести к следующим негативным последствиям: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- росту затрат предприятий, расположенных на территории сельского поселения, на оплату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топливно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– энергетических и коммунальных ресурсов, приводящему к снижению конкурентоспособности и рентабельности их деятельности;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- снижению эффективности муниципальных расходов, вызванному ростом доли затрат на оплату коммунальных услуг в общих затратах на муниципальное управление;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опережающему росту затрат на оплату коммунальных ресурсов в расходах на содержание муниципальных организаций и вызванному этим снижению эффективности оказания услуг.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Необходимость решения проблемы энергосбережения программно–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це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левым методом обусловлена следующими причинами: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1. Невозможностью комплексного решения проблемы в требуемые сроки за счет использования действующего рыночного механизма.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 Комплексным характером проблемы и необходимостью координации действий по ее решению.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 Недостатком средств местного бюджета для финансирования всего комплекса мероприятий по энергосбережению и необходимостью координации действий и ресурсов органов местного самоуправления.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5. Необходимостью повышения эффективности расходования государственных средств и снижения рисков развития муниципального поселения.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 и т.п. Интересы участников рыночных отношений при этом не совпадают, а часто прямо противоположны, что требует участия в процессе третьей стороны в лице органов государственной власти и органов местного самоуправления, имеющих полномочия в сфере регулирования электроэнергии и коммунальных услуг.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осуществления контроля над выполнением мероприятий Программы, оценки эффективности выделения средств и тиражирования лучшего опыта Правительством Российской Федерации создается система мониторинга реализации программ энергосбережения и повышения энергетической эффективности.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Система должна обеспечивать возможность мониторинга хода выполнения мероприятий Программы (целевых показателей и индикаторов) на основе фактических данных потребления энергоресурсов, получаемых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ответственных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энерго-эффективность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 объекту.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Основные риски, связанные с реализацией Программы, определяются следующими факторами: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- ограниченность источников финансирования программных мероприятий;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неразвитость механизмов привлечения средств на финансирование энергосберегающих мероприятий.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настоящее время создание условий для повышения эффективности использования энергии и других видов ресурсов является одной из приоритетных задач социально – экономического развития Мирненского сельского поселения.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общего руководства реализацией Программы на муниципальном уровне разрабатывается, корректируется Программа, которая организует работу на поселенческом уровне, обеспечивает контроль выполнения мероприятий, своевременно выявляет риски реализации Программы и предпринимает меры по их снижению.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 Цели и задачи Программы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Основной целью муниципальной Программы является 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к 2026 году удельных показателей энергоемкости и энергопотребления и создания условий для перевода экономики сельского поселения на энергосберегающий путь развития.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достижения поставленной цели в ходе реализации Программы органами местного самоуправления необходимо решить следующие задачи: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1. Проведение комплекса организационно – правовых мероприятий по управлению энергосбережением, в том числе создание системы на уровне каждого объекта и их мониторинга.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 Расширение практики применения энергосберегающих технологий при модернизации, реконструкции и капитальном ремонте объектов муниципальной сферы.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 Проведение энергетических обследований, составление энергетических паспортов во всех учреждениях и предприятиях, подлежащих обязательному энергетическому обследованию.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4. Обеспечение учета всего объема потребляемых энергетических ресурсов. Создание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системы мониторинга реализации мероприятий энергосбережения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 каждом объекте, включенном в Программу. Необходимо оснастить приборами учета коммунальных ресурсов и устройствами регулирования потребления энергии все органы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5. Реализация энергосберегающих мероприятий при капитальном ремонте объектов бюджетной сферы сельского поселения.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Поставленная цель и решаемые в рамках Программы задачи, направлены на повышение эффективности использования энергетических ресурсов при их потреблении. Указанные цели и задачи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решаются впервые и Программа не дублирует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цели и задачи других действующих программ сельского поселения.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 Система программных мероприятий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Программа содержит набор тиражируемых мероприятий по направлениям реализации Программы, оценку масштабов их применения, энергосберегающих эффектов и затрат на их реализацию.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3.1. Энергосбережение и повышение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бюджетном секторе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период реализации Программы основной проблемой в бюджетной сфере будет снижение эффективности муниципального управления и оказания услуг, связанное с опережающим ростом стоимости коммунальных ресурсов, и вызванное этим резкое увеличение удельного веса расходов на оплату коммунальных услуг в общих расходах бюджетных организаций.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Целью данной Программы является повышение эффективности использования энергоресурсов в органах местного самоуправления и органах бюджетной сферы, обеспечение на этой основе снижения потребления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топливно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–энергетических ресурсов при соблюдении установленных санитарных правил, норм и повышении надежности обеспечения коммунальными услугами.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Основные задачи, которые необходимо решить для достижения поставленной цели: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обеспечение </w:t>
      </w:r>
      <w:r>
        <w:rPr>
          <w:rFonts w:ascii="Times New Roman" w:hAnsi="Times New Roman"/>
          <w:color w:val="252525"/>
          <w:sz w:val="28"/>
          <w:szCs w:val="28"/>
        </w:rPr>
        <w:t>экономии тепловой энергии, снижение потерь в административном учреждении;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обеспечить проведение энергетических обследований, ведение энергетических паспортов по объектам муниципальных организаций;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обеспечить оснащение приборами учета ресурсов и устройствами регулирования потребления энергии основные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энергопотребляющие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объекты муниципальной бюджетной сферы и перейти на расчеты между муниципальными организациями и поставщиками электрических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ресурсов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исходя из показаний приборов учета;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обеспечить применение современных энергосберегающих технологий при проектировании, строительстве, реконструкции и капитальном ремонте объектов капитального строительства за счет средств местного бюджета;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обустроить уличное освещение на неосвещаемых улицах Мирненского сельского поселения Хабаровского муниципального района Хабаровского края, улучшающее качество жизни людей;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сформировать систему муниципальных нормативных правовых актов, стимулирующих энергосбережение.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дополнительной системой мониторинга и оценки достигнутых промежуточных и итоговых результатов.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Основные технические характеристики объектов бюджетной сферы Мирненского сельского поселения приведены ниже: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Администрация Мирненского сельского поселения Хабаровского муниципального района Хабаровского края;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Муниципальное казенное учреждение культуры «Культурно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досуговый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центр» администрации Мирненского сельского поселения Хабаровского муниципального района Хабаровского края.</w:t>
      </w: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Объекты:</w:t>
      </w: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- администрация Мирненского сельского поселения Хабаровского муниципального района Хабаровского края, расположенная по адресу: 680539, Хабаровский край, Хабаровский район, с.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Мирное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ул. Рабочая, дом 5;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здание Дом культуры, расположенное по адресу: 680539, Хабаровский край, Хабаровский район, с. Мирное, ул.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Рабочая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дом 6;</w:t>
      </w:r>
    </w:p>
    <w:p w:rsidR="00F70375" w:rsidRDefault="00352B72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  <w:t>- уличное освещение в с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ирное.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4. Ресурсное обеспечение Программы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Затраты на реализацию программных мероприятий рассчитываются, исходя из усредненных затрат на реализацию каждого вида мероприятий. Стоимость выполнения работ будет уточняться по результатам энергетических обследований объектов, входящих в Программу, и предложенных мероприятий, определенных исходя из натурных измерений.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Финансирование мероприятий, направленных на повышение эффективности использования ресурсов коммерческими предприятиями, организациями, коммунально-бытовыми потребителями и иными субъектами различных видов собственности и организационно-правовых форм, из краевого и муниципального бюджета не предполагается. Участие органов исполнительной власти в реализации данных мероприятий ограничивается организационным содействием и консультационной помощью.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Всего на реализацию мероприятий Программы Мирненского сельского поселения на период с 2024 до 2026 года потребуется 2245 тысяч рублей.</w:t>
      </w:r>
    </w:p>
    <w:p w:rsidR="00F70375" w:rsidRDefault="00F70375">
      <w:pPr>
        <w:shd w:val="clear" w:color="auto" w:fill="FFFFFF"/>
        <w:spacing w:after="0" w:line="2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5. Механизм реализации Программы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Организацию и руководство реализацией Программы осуществляет администрация Мирненского сельского поселения Хабаровского муниципального района Хабаровского края (далее администрация Мирненского сельского поселения).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Администрация Мирненского сельского поселения реализует функции заказчика Программы во взаимодействии с заинтересованными органами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исполнительной власти Хабаровского края и по мере необходимости готовит предложения по корректировке реестра объектов и перечня программных мероприятий на очередной финансовый год, уточняет объемы их финансирования, отдельные показатели, а также механизм реализации Программы.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Взаимоотношения администрации Мирненского сельского поселения с заказчиками и исполнителями программных мероприятий осуществляются на договорной основе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6.Оценка социально-экономической эффективности Программы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энергосбережения в сельском поселении позволит обеспечить потребителям энергоресурсов сокращение расходов и должно повысить качество поставляемых услуг.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Результатами реализации потенциала энергосбережения является практическое привлечение потребителей к процессу экономии энергоресурсов, повышение культуры их потребления.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рамках разработки Программы проведен анализ и рассмотрены основные неблагоприятные факторы на пути повышения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, а также возможные решения – законодательные или организационные инициативы, которые необходимы для устранения данных барьеров.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 качестве основных факторов, способных оказать неблагоприятное воздействие на реализацию муниципальной программы, необходимо выделить следующие:</w:t>
      </w:r>
      <w:proofErr w:type="gramEnd"/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-недостаточное осознание значимости повышения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невысокий уровень осведомленности потребителей и поставщиков энергоресурсов и коммунальных услуг. Преодоление данного барьера возможно посредством информационной политики, стимулирующей рациональное использование энергоресурсов;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-отсутствие синхронизации между мероприятиями по повышению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потребителями и производителями энергоресурсов. При сокращении потребления ресурсов и услуг, вызванное реализацией мер по энергосбережению, будет опережать модернизацию и повышение эффективности поставщиков энергоресурсов и услуг, возможно снижение их рентабельности в результате фактического сокращения поступления финансовых средств, предусмотренных утвержденными тарифами. 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того чтобы избежать возникновения данного фактора, модернизация коммунальной инфраструктуры должна опережать: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-  внедрение ресурсосберегающих технологий в системах потребления;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влияние кризисных явлений, в результате чего возможно недостаточное бюджетное финансирование, направленное на повышение энергетической эффективности, в рамках объемов, предусмотренных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Программой, в результате возможно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недостижение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плановых показателей Программы. В данном случае необходима корректировка Программы с учетом фактической возможности бюджетов.</w:t>
      </w:r>
    </w:p>
    <w:p w:rsidR="00F70375" w:rsidRDefault="00F70375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7. Мониторинг реализации Программы</w:t>
      </w:r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осуществления контроля над выполнением мероприятий Программы, оценки эффективности, выделения и тиражирования лучшего опыта будет создана система мониторинга реализации Программы, включающая организационные структуры мониторинга и специализированные информационные системы.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F70375" w:rsidRDefault="00352B72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8. Перечень целевых показателей (мероприятий) в области энергосбережения и повышения энергетической эффективности</w:t>
      </w:r>
    </w:p>
    <w:p w:rsidR="00F70375" w:rsidRDefault="00F70375">
      <w:pPr>
        <w:shd w:val="clear" w:color="auto" w:fill="FFFFFF"/>
        <w:spacing w:after="0" w:line="200" w:lineRule="atLeast"/>
        <w:ind w:firstLine="708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hd w:val="clear" w:color="auto" w:fill="FFFFFF"/>
        <w:spacing w:after="0" w:line="200" w:lineRule="atLeast"/>
        <w:ind w:firstLine="708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Энергетический аудит.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Энергетический аудит служит для оценки эффективного использования энергоресурсов для предприятий, технологического процесса или оборудования и позволят сделать количественные оценки сбережения энергоресурсов и финансовых затрат.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 процессе энергетического обследования определяется реальное состояние систем энергопотребления, устанавливаются источники непроизводительных потерь энергоресурсов, проводится поиск оптимальных путей снижения этих потерь, выбирается наиболее рациональная с точки зрения выбранного критерия (снижения платы за энергоресурсы, сокращение потребления какого-либо вида энергоресурсов при сокращении лимитов, экология, обеспечение энергетической безопасности и т.п.) стратегия деятельности по реализации конкретных мероприятий.</w:t>
      </w:r>
      <w:proofErr w:type="gramEnd"/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малозатратных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организационных мероприятий позволяет достигнуть экономии энергетических ресурсов без привлечения внешнего финансирования.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Ожидаемый эффект: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малозатратные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 организационные мероприятия снижают потребление энергоресурсов на 5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Установка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двухтарифного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счетчика электрической энергии (день – ночь).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Даже при односменной работе не менее 15 – 20 процентов потребления электрической  энергии приходится на ночное время. Это электропотребление систем наружного и дежурного освещения, вентиляции, насосов. Использование ночного тарифа (который на 30 – 40 процентов ниже дневного) позволяет снизить затраты на электроэнергию на 3 – 5 процентов без значительных капитальных затрат.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Выполнение гидравлической балансировки системы отопления.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Температура во всех помещениях здания будет одинакова при выполнении двух условий: во-первых, если мощность нагревательных приборов соответствует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теплопотерям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помещений, во-вторых, если расход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теплоносителя через нагревательный прибор соответствует проектному расходу. На практике второе условие практически никогда не выполняется. Это приводит к тому, что в части помещений холодно, зато в другой части вынуждены открывать форточки.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 помощью ручных или автоматических балансировочных вентилей можно перераспределить потоки теплоносителя в соответствии с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теплопотерями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помещений и выровнять температуры в них.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Тепловая изоляция трубопроводов внутри здания, установка отражающей теплоизоляции за радиаторами.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Тепловая изоляция трубопроводов позволяет уменьшить неконтролируемое тепловыделение. Это в свою очередь снижает температуру 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теплопотери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 помещениях технического назначения (чердаки, подвалы и пр.).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Отражающая теплоизоляция (алюминиевая фольга) уменьшает потери тепла участка стены, расположенного непосредственно за радиатором.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Ожидаемый эффект: сокращение расхода тепла на 2 – 5 процентов, повышение точности поддержания температуры в помещениях при использовании радиаторных термостатов, снижение тепловых потерь системы горячего водоснабжения.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Использование светодиодных источников для освещения мест общего пользования.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настоящее время массовые светодиодные источники достигли уровня эффективности люминесцентных ламп (светоотдача – 70 – 80 лм/Вт), экспериментальные образцы достигли светоотдачи 137 лм/Вт. Преодолена и проблема недостаточной мощности, не позволяющей использовать светодиодные источники для общего освещения. Максимальная мощность одиночного светодиода достигает 400 Вт.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У светодиодных источников света есть и другие достоинства: длительный срок службы (до 100 тыс. часов), не содержит ртуть, отсутствие мерцания. При реконструкции систем освещения следует широко применять светодиоды.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Ожидаемый эффект: сокращение расхода электроэнергии на 5 – 8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Внедрение систем автоматического управления освещением.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Для управления наружным освещением используются датчики освещенности (сумеречные выключатели). Для управления освещенностью мест с периодическим пребыванием людей – датчики присутствия различных типов (микроволновые, акустические, инфракрасные). Эти простейшие (и достаточно дешевые) элементы автоматики позволяют сократить потребление электрической энергии на 8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Дополнительной мерой для снижения потребления может быть замена выключателей на мощных приборах освещения таймерами, обеспечивающими принудительное выключение по истечении заданного времени.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Ожидаемый эффект: сокращение расхода электроэнергии на 5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Ремонт линий электропередач. Внедрение технологий транспортировки электроэнергии. Замена неизолированного провода на СИП с заменой опор ЛЭП 0,4 кв.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При плановой замене пускорегулирующих устройств электромагнитного типа (ЭМПРА) следует использовать электронные устройства (ЭПРА). Это позволяет снизить потребление электроэнергии светильником на 15 – 20 процентов, улучшить качество света за счет устранения неприятных пульсаций. Ввиду небольшой стоимости пускорегулирующей аппаратуры срок окупаемости этого мероприятия не превышает 3-х лет.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ряде случаев целесообразно устанавливать ЭПРА с возможностью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диммирования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(регулирования светового потока ламп). Существующие модели ЭПРА позволяют осуществлять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диммирование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без прокладки дополнительных проводов.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Ожидаемый эффект: сокращение расхода электроэнергии на 5 – 10 процентов.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Собственники зданий, строений, сооружений, собственники помещений в многоквартирных домах обязаны обеспечивать соответствие зданий, строений, сооружений,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в течени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всего срока их службы путем организации их надлежащей эксплуатации и своевременного устранения выявленных несоответствий.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Реализация мероприятий энергосбережения и повышения энергетической эффективности на зданиях, строениях и сооружениях, находящихся в ведении муниципальных органов исполнительной власти, осуществляется и оплачивается в соответствии с бюджетным законодательством Российской Федерации и законодательством Российской Федерации о размещении заказов.</w:t>
      </w:r>
    </w:p>
    <w:p w:rsidR="00F70375" w:rsidRDefault="00352B72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В случае выявления факта несоответствия здания, строения, сооружения или их отдельных элементов, их конструкций требованиям энергетической эффективности и требованиям их оснащенности приборами учета используемых энергетических ресурсов, возникшего вследствие несоблюдения застройщиком данных требований, собственник здания, строения или сооружения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 расходов на устранение выявленного несоответствия.</w:t>
      </w:r>
      <w:proofErr w:type="gramEnd"/>
    </w:p>
    <w:p w:rsidR="00F70375" w:rsidRDefault="00F70375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90937" w:rsidRDefault="00390937">
      <w:pPr>
        <w:shd w:val="clear" w:color="auto" w:fill="FFFFFF"/>
        <w:spacing w:after="0" w:line="200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70375" w:rsidRDefault="00352B72">
      <w:pPr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9. Мероприятия по реализации Программы</w:t>
      </w:r>
    </w:p>
    <w:p w:rsidR="00F70375" w:rsidRDefault="00F70375">
      <w:pPr>
        <w:spacing w:after="0" w:line="20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0" w:type="auto"/>
        <w:tblInd w:w="-2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86"/>
        <w:gridCol w:w="2550"/>
        <w:gridCol w:w="846"/>
        <w:gridCol w:w="780"/>
        <w:gridCol w:w="11"/>
        <w:gridCol w:w="769"/>
        <w:gridCol w:w="8"/>
        <w:gridCol w:w="695"/>
        <w:gridCol w:w="77"/>
        <w:gridCol w:w="783"/>
        <w:gridCol w:w="1418"/>
        <w:gridCol w:w="1338"/>
      </w:tblGrid>
      <w:tr w:rsidR="00F70375">
        <w:tc>
          <w:tcPr>
            <w:tcW w:w="58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4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выпол-нения</w:t>
            </w:r>
            <w:proofErr w:type="spellEnd"/>
            <w:proofErr w:type="gramEnd"/>
          </w:p>
        </w:tc>
        <w:tc>
          <w:tcPr>
            <w:tcW w:w="312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Объем финансирования,</w:t>
            </w:r>
          </w:p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F70375">
        <w:tc>
          <w:tcPr>
            <w:tcW w:w="5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4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ind w:right="9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ind w:left="720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Организационно-правовые мероприятия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соответствием размещаемых заказов на поставки электрических ламп накаливания для муниципальных нужд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2024-2026</w:t>
            </w:r>
          </w:p>
        </w:tc>
        <w:tc>
          <w:tcPr>
            <w:tcW w:w="7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8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8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ind w:right="9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ind w:left="720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бюджетной сфере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Замена светильников в здании администрации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светодиодные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ind w:right="9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ind w:left="720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в системах наружного освещения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Комплексная замена (установка) светильников уличного освещения с ДРЛ на светодиодные светильники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2024 -2026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</w:t>
            </w:r>
            <w:bookmarkStart w:id="0" w:name="_GoBack"/>
            <w:bookmarkEnd w:id="0"/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Приобретение и 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двухтарифных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счетчиков для систем наружного освещения (4 шт.)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2024-2026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F70375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5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 Информационное обеспечение энергосбережения</w:t>
            </w:r>
          </w:p>
        </w:tc>
      </w:tr>
      <w:tr w:rsidR="00F70375">
        <w:tc>
          <w:tcPr>
            <w:tcW w:w="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5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 на официальном сайте Мирненского сельского поселения информации о требованиях законодательства об энергосбережении и повышении энергетической эффективности</w:t>
            </w:r>
          </w:p>
        </w:tc>
        <w:tc>
          <w:tcPr>
            <w:tcW w:w="8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2024 -2026</w:t>
            </w:r>
          </w:p>
        </w:tc>
        <w:tc>
          <w:tcPr>
            <w:tcW w:w="79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требует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дополните</w:t>
            </w:r>
          </w:p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льных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финансо</w:t>
            </w:r>
            <w:proofErr w:type="spellEnd"/>
          </w:p>
          <w:p w:rsidR="00F70375" w:rsidRDefault="00352B72">
            <w:pPr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затрат</w:t>
            </w:r>
          </w:p>
        </w:tc>
        <w:tc>
          <w:tcPr>
            <w:tcW w:w="13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70375" w:rsidRDefault="00352B72">
            <w:pPr>
              <w:spacing w:after="0" w:line="200" w:lineRule="atLeas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F70375" w:rsidRDefault="00F70375">
      <w:pPr>
        <w:spacing w:after="0" w:line="200" w:lineRule="atLeast"/>
        <w:rPr>
          <w:rFonts w:ascii="Times New Roman" w:hAnsi="Times New Roman"/>
          <w:color w:val="000000"/>
          <w:sz w:val="28"/>
          <w:szCs w:val="28"/>
        </w:rPr>
      </w:pPr>
    </w:p>
    <w:p w:rsidR="00352B72" w:rsidRDefault="00352B72">
      <w:pPr>
        <w:spacing w:after="0" w:line="200" w:lineRule="atLeast"/>
        <w:jc w:val="center"/>
      </w:pPr>
      <w:r>
        <w:rPr>
          <w:rFonts w:ascii="Times New Roman" w:hAnsi="Times New Roman"/>
          <w:color w:val="000000"/>
          <w:sz w:val="28"/>
          <w:szCs w:val="28"/>
        </w:rPr>
        <w:t>__________________</w:t>
      </w:r>
    </w:p>
    <w:sectPr w:rsidR="00352B72" w:rsidSect="00F70375">
      <w:pgSz w:w="11906" w:h="16838"/>
      <w:pgMar w:top="1134" w:right="567" w:bottom="1134" w:left="1985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685B16"/>
    <w:rsid w:val="00055A37"/>
    <w:rsid w:val="001D7A5C"/>
    <w:rsid w:val="00352B72"/>
    <w:rsid w:val="00390937"/>
    <w:rsid w:val="00685B16"/>
    <w:rsid w:val="006E6460"/>
    <w:rsid w:val="00F70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75"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70375"/>
  </w:style>
  <w:style w:type="character" w:customStyle="1" w:styleId="WW8Num1z1">
    <w:name w:val="WW8Num1z1"/>
    <w:rsid w:val="00F70375"/>
  </w:style>
  <w:style w:type="character" w:customStyle="1" w:styleId="WW8Num1z2">
    <w:name w:val="WW8Num1z2"/>
    <w:rsid w:val="00F70375"/>
  </w:style>
  <w:style w:type="character" w:customStyle="1" w:styleId="WW8Num1z3">
    <w:name w:val="WW8Num1z3"/>
    <w:rsid w:val="00F70375"/>
  </w:style>
  <w:style w:type="character" w:customStyle="1" w:styleId="WW8Num1z4">
    <w:name w:val="WW8Num1z4"/>
    <w:rsid w:val="00F70375"/>
  </w:style>
  <w:style w:type="character" w:customStyle="1" w:styleId="WW8Num1z5">
    <w:name w:val="WW8Num1z5"/>
    <w:rsid w:val="00F70375"/>
  </w:style>
  <w:style w:type="character" w:customStyle="1" w:styleId="WW8Num1z6">
    <w:name w:val="WW8Num1z6"/>
    <w:rsid w:val="00F70375"/>
  </w:style>
  <w:style w:type="character" w:customStyle="1" w:styleId="WW8Num1z7">
    <w:name w:val="WW8Num1z7"/>
    <w:rsid w:val="00F70375"/>
  </w:style>
  <w:style w:type="character" w:customStyle="1" w:styleId="WW8Num1z8">
    <w:name w:val="WW8Num1z8"/>
    <w:rsid w:val="00F70375"/>
  </w:style>
  <w:style w:type="character" w:customStyle="1" w:styleId="WW8Num2z0">
    <w:name w:val="WW8Num2z0"/>
    <w:rsid w:val="00F70375"/>
  </w:style>
  <w:style w:type="character" w:customStyle="1" w:styleId="WW8Num2z1">
    <w:name w:val="WW8Num2z1"/>
    <w:rsid w:val="00F70375"/>
  </w:style>
  <w:style w:type="character" w:customStyle="1" w:styleId="WW8Num2z2">
    <w:name w:val="WW8Num2z2"/>
    <w:rsid w:val="00F70375"/>
  </w:style>
  <w:style w:type="character" w:customStyle="1" w:styleId="WW8Num2z3">
    <w:name w:val="WW8Num2z3"/>
    <w:rsid w:val="00F70375"/>
  </w:style>
  <w:style w:type="character" w:customStyle="1" w:styleId="WW8Num2z4">
    <w:name w:val="WW8Num2z4"/>
    <w:rsid w:val="00F70375"/>
  </w:style>
  <w:style w:type="character" w:customStyle="1" w:styleId="WW8Num2z5">
    <w:name w:val="WW8Num2z5"/>
    <w:rsid w:val="00F70375"/>
  </w:style>
  <w:style w:type="character" w:customStyle="1" w:styleId="WW8Num2z6">
    <w:name w:val="WW8Num2z6"/>
    <w:rsid w:val="00F70375"/>
  </w:style>
  <w:style w:type="character" w:customStyle="1" w:styleId="WW8Num2z7">
    <w:name w:val="WW8Num2z7"/>
    <w:rsid w:val="00F70375"/>
  </w:style>
  <w:style w:type="character" w:customStyle="1" w:styleId="WW8Num2z8">
    <w:name w:val="WW8Num2z8"/>
    <w:rsid w:val="00F70375"/>
  </w:style>
  <w:style w:type="character" w:customStyle="1" w:styleId="WW8Num3z0">
    <w:name w:val="WW8Num3z0"/>
    <w:rsid w:val="00F70375"/>
  </w:style>
  <w:style w:type="character" w:customStyle="1" w:styleId="WW8Num3z1">
    <w:name w:val="WW8Num3z1"/>
    <w:rsid w:val="00F70375"/>
  </w:style>
  <w:style w:type="character" w:customStyle="1" w:styleId="WW8Num3z2">
    <w:name w:val="WW8Num3z2"/>
    <w:rsid w:val="00F70375"/>
  </w:style>
  <w:style w:type="character" w:customStyle="1" w:styleId="WW8Num3z3">
    <w:name w:val="WW8Num3z3"/>
    <w:rsid w:val="00F70375"/>
  </w:style>
  <w:style w:type="character" w:customStyle="1" w:styleId="WW8Num3z4">
    <w:name w:val="WW8Num3z4"/>
    <w:rsid w:val="00F70375"/>
  </w:style>
  <w:style w:type="character" w:customStyle="1" w:styleId="WW8Num3z5">
    <w:name w:val="WW8Num3z5"/>
    <w:rsid w:val="00F70375"/>
  </w:style>
  <w:style w:type="character" w:customStyle="1" w:styleId="WW8Num3z6">
    <w:name w:val="WW8Num3z6"/>
    <w:rsid w:val="00F70375"/>
  </w:style>
  <w:style w:type="character" w:customStyle="1" w:styleId="WW8Num3z7">
    <w:name w:val="WW8Num3z7"/>
    <w:rsid w:val="00F70375"/>
  </w:style>
  <w:style w:type="character" w:customStyle="1" w:styleId="WW8Num3z8">
    <w:name w:val="WW8Num3z8"/>
    <w:rsid w:val="00F70375"/>
  </w:style>
  <w:style w:type="character" w:customStyle="1" w:styleId="1">
    <w:name w:val="Основной шрифт абзаца1"/>
    <w:rsid w:val="00F70375"/>
  </w:style>
  <w:style w:type="character" w:styleId="a3">
    <w:name w:val="Strong"/>
    <w:basedOn w:val="1"/>
    <w:qFormat/>
    <w:rsid w:val="00F70375"/>
    <w:rPr>
      <w:rFonts w:cs="Times New Roman"/>
      <w:b/>
    </w:rPr>
  </w:style>
  <w:style w:type="character" w:customStyle="1" w:styleId="a4">
    <w:name w:val="Маркеры списка"/>
    <w:rsid w:val="00F70375"/>
    <w:rPr>
      <w:rFonts w:ascii="OpenSymbol" w:eastAsia="OpenSymbol" w:hAnsi="OpenSymbol" w:cs="OpenSymbol"/>
    </w:rPr>
  </w:style>
  <w:style w:type="character" w:customStyle="1" w:styleId="a5">
    <w:name w:val="Символ нумерации"/>
    <w:rsid w:val="00F70375"/>
  </w:style>
  <w:style w:type="paragraph" w:customStyle="1" w:styleId="a6">
    <w:name w:val="Заголовок"/>
    <w:basedOn w:val="a"/>
    <w:next w:val="a7"/>
    <w:rsid w:val="00F7037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rsid w:val="00F70375"/>
    <w:pPr>
      <w:spacing w:after="120"/>
    </w:pPr>
  </w:style>
  <w:style w:type="paragraph" w:styleId="a8">
    <w:name w:val="List"/>
    <w:basedOn w:val="a7"/>
    <w:rsid w:val="00F70375"/>
    <w:rPr>
      <w:rFonts w:cs="Lucida Sans"/>
    </w:rPr>
  </w:style>
  <w:style w:type="paragraph" w:customStyle="1" w:styleId="10">
    <w:name w:val="Название1"/>
    <w:basedOn w:val="a"/>
    <w:rsid w:val="00F703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rsid w:val="00F70375"/>
    <w:pPr>
      <w:suppressLineNumbers/>
    </w:pPr>
    <w:rPr>
      <w:rFonts w:cs="Lucida Sans"/>
    </w:rPr>
  </w:style>
  <w:style w:type="paragraph" w:styleId="a9">
    <w:name w:val="Normal (Web)"/>
    <w:basedOn w:val="a"/>
    <w:rsid w:val="00F70375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a">
    <w:name w:val="Содержимое таблицы"/>
    <w:basedOn w:val="a"/>
    <w:rsid w:val="00F70375"/>
    <w:pPr>
      <w:suppressLineNumbers/>
    </w:pPr>
  </w:style>
  <w:style w:type="paragraph" w:customStyle="1" w:styleId="ab">
    <w:name w:val="Заголовок таблицы"/>
    <w:basedOn w:val="aa"/>
    <w:rsid w:val="00F70375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4039</Words>
  <Characters>23028</Characters>
  <Application>Microsoft Office Word</Application>
  <DocSecurity>0</DocSecurity>
  <Lines>191</Lines>
  <Paragraphs>54</Paragraphs>
  <ScaleCrop>false</ScaleCrop>
  <Company>DNS</Company>
  <LinksUpToDate>false</LinksUpToDate>
  <CharactersWithSpaces>27013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2023-11-09T00:52:00Z</cp:lastPrinted>
  <dcterms:created xsi:type="dcterms:W3CDTF">2023-11-08T23:13:00Z</dcterms:created>
  <dcterms:modified xsi:type="dcterms:W3CDTF">2023-11-09T00:59:00Z</dcterms:modified>
</cp:coreProperties>
</file>