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theme/theme1.xml" ContentType="application/vnd.openxmlformats-officedocument.theme+xml"/>
  <Override PartName="/word/styles.xml" ContentType="application/vnd.openxmlformats-officedocument.wordprocessingml.styles+xml"/>
  <Override PartName="/docprops/core.xml" ContentType="application/vnd.openxmlformats-package.core-properties+xml"/>
  <Override PartName="/word/fonttable.xml" ContentType="application/vnd.openxmlformats-officedocument.wordprocessingml.fontTable+xml"/>
  <Override PartName="/word/document.xml" ContentType="application/vnd.openxmlformats-officedocument.wordprocessingml.document.main+xml"/>
  <Override PartName="/word/settings.xml" ContentType="application/vnd.openxmlformats-officedocument.wordprocessingml.settings+xml"/>
  <Override PartName="/word/numbering.xml" ContentType="application/vnd.openxmlformats-officedocument.wordprocessingml.numbering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="http://schemas.openxmlformats.org/wordprocessingml/2006/main" xmlns:a="http://schemas.openxmlformats.org/drawingml/2006/main" xmlns:wps="http://schemas.microsoft.com/office/word/2010/wordprocessingShape" xmlns:wpg="http://schemas.microsoft.com/office/word/2010/wordprocessingGroup" xmlns:wp14="http://schemas.microsoft.com/office/word/2010/wordprocessingDrawing" xmlns:w14="http://schemas.microsoft.com/office/word/2010/wordml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ne="http://schemas.microsoft.com/office/word/2006/wordml" xmlns:wpi="http://schemas.microsoft.com/office/word/2010/wordprocessingInk" xmlns:aink="http://schemas.microsoft.com/office/drawing/2016/ink" xmlns:dgm="http://schemas.openxmlformats.org/drawingml/2006/diagram">
  <w:body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center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b/>
          <w:color w:val="000000"/>
          <w:sz w:val="21"/>
          <w:rtl w:val="off"/>
          <w:lang w:val="en-US"/>
        </w:rPr>
        <w:t>Прогнозирование основных характеристик (общий объем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center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b/>
          <w:color w:val="000000"/>
          <w:sz w:val="21"/>
          <w:rtl w:val="off"/>
          <w:lang w:val="en-US"/>
        </w:rPr>
        <w:t>доходов, общий объем расходов, дефицита (профицита) бюджета)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center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b/>
          <w:color w:val="000000"/>
          <w:sz w:val="21"/>
          <w:rtl w:val="off"/>
          <w:lang w:val="en-US"/>
        </w:rPr>
        <w:t xml:space="preserve"> бюджета Мирненского сельского поселения на очередной 2021г финансовый год и плановый период  2022-2023гг.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center"/>
        <w:rPr>
          <w:rFonts w:ascii="times"/>
          <w:color w:val="000000"/>
          <w:sz w:val="21"/>
          <w:lang w:val="en-US"/>
        </w:rPr>
      </w:pPr>
      <w:r>
        <w:rPr>
          <w:rFonts w:ascii="times"/>
          <w:b/>
          <w:color w:val="000000"/>
          <w:sz w:val="21"/>
          <w:rtl w:val="off"/>
          <w:lang w:val="en-US"/>
        </w:rPr>
        <w:t xml:space="preserve">Основные характеристики бюджета 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center"/>
        <w:rPr>
          <w:rFonts w:ascii="times"/>
          <w:color w:val="000000"/>
          <w:sz w:val="21"/>
          <w:lang w:val="en-US"/>
        </w:rPr>
      </w:pPr>
      <w:r>
        <w:rPr>
          <w:rFonts w:ascii="times"/>
          <w:b/>
          <w:color w:val="000000"/>
          <w:sz w:val="21"/>
          <w:rtl w:val="off"/>
          <w:lang w:val="en-US"/>
        </w:rPr>
        <w:t xml:space="preserve">сельского поселения на 2020 год и плановый 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center"/>
        <w:rPr>
          <w:rFonts w:ascii="times"/>
          <w:color w:val="000000"/>
          <w:sz w:val="21"/>
          <w:lang w:val="en-US"/>
        </w:rPr>
      </w:pPr>
      <w:r>
        <w:rPr>
          <w:rFonts w:ascii="times"/>
          <w:b/>
          <w:color w:val="000000"/>
          <w:sz w:val="21"/>
          <w:rtl w:val="off"/>
          <w:lang w:val="en-US"/>
        </w:rPr>
        <w:t>период 2021 и 2022 годов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times"/>
          <w:color w:val="000000"/>
          <w:sz w:val="21"/>
          <w:lang w:val="en-US"/>
        </w:rPr>
      </w:pPr>
      <w:r>
        <w:rPr>
          <w:rFonts w:ascii="times"/>
          <w:color w:val="000000"/>
          <w:sz w:val="21"/>
          <w:rtl w:val="off"/>
          <w:lang w:val="en-US"/>
        </w:rPr>
        <w:t xml:space="preserve">1. Утвердить основные характеристики и иные показатели бюджета Мирненского сельского поселения на 2021 год: 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times"/>
          <w:color w:val="000000"/>
          <w:sz w:val="21"/>
          <w:lang w:val="en-US"/>
        </w:rPr>
      </w:pPr>
      <w:r>
        <w:rPr>
          <w:rFonts w:ascii="times"/>
          <w:color w:val="000000"/>
          <w:sz w:val="21"/>
          <w:rtl w:val="off"/>
          <w:lang w:val="en-US"/>
        </w:rPr>
        <w:t>1) общий объем</w:t>
      </w:r>
      <w:r>
        <w:rPr>
          <w:rFonts w:ascii="times"/>
          <w:color w:val="000000"/>
          <w:sz w:val="21"/>
          <w:rtl w:val="off"/>
          <w:lang w:val="en-US"/>
        </w:rPr>
        <w:t xml:space="preserve">  </w:t>
      </w:r>
      <w:r>
        <w:rPr>
          <w:rFonts w:ascii="times"/>
          <w:color w:val="000000"/>
          <w:sz w:val="21"/>
          <w:rtl w:val="off"/>
          <w:lang w:val="en-US"/>
        </w:rPr>
        <w:t xml:space="preserve">доходов бюджета сельского поселения в сумме 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times"/>
          <w:color w:val="000000"/>
          <w:sz w:val="21"/>
          <w:lang w:val="en-US"/>
        </w:rPr>
      </w:pPr>
      <w:r>
        <w:rPr>
          <w:rFonts w:ascii="times"/>
          <w:color w:val="000000"/>
          <w:sz w:val="21"/>
          <w:rtl w:val="off"/>
          <w:lang w:val="en-US"/>
        </w:rPr>
        <w:t>15 013,800 тыс. рублей, из них: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times"/>
          <w:color w:val="000000"/>
          <w:sz w:val="21"/>
          <w:lang w:val="en-US"/>
        </w:rPr>
      </w:pPr>
      <w:r>
        <w:rPr>
          <w:rFonts w:ascii="times"/>
          <w:color w:val="000000"/>
          <w:sz w:val="21"/>
          <w:rtl w:val="off"/>
          <w:lang w:val="en-US"/>
        </w:rPr>
        <w:t>- налоговые и неналоговые доходы в сумме 13 500,000 тыс. рублей;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times"/>
          <w:color w:val="000000"/>
          <w:sz w:val="21"/>
          <w:lang w:val="en-US"/>
        </w:rPr>
      </w:pPr>
      <w:r>
        <w:rPr>
          <w:rFonts w:ascii="times"/>
          <w:color w:val="000000"/>
          <w:sz w:val="21"/>
          <w:rtl w:val="off"/>
          <w:lang w:val="en-US"/>
        </w:rPr>
        <w:t>- безвозмездные поступления 1 513,800 тыс. рублей, в том числе безвозмездные поступления из других бюджетов – 1 513,800 тыс. рублей;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times"/>
          <w:color w:val="000000"/>
          <w:sz w:val="21"/>
          <w:lang w:val="en-US"/>
        </w:rPr>
      </w:pPr>
      <w:r>
        <w:rPr>
          <w:rFonts w:ascii="times"/>
          <w:color w:val="000000"/>
          <w:sz w:val="21"/>
          <w:rtl w:val="off"/>
          <w:lang w:val="en-US"/>
        </w:rPr>
        <w:t>2) общий объем расходов бюджета сельского поселения в сумме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times"/>
          <w:color w:val="000000"/>
          <w:sz w:val="21"/>
          <w:lang w:val="en-US"/>
        </w:rPr>
      </w:pPr>
      <w:r>
        <w:rPr>
          <w:rFonts w:ascii="times"/>
          <w:color w:val="000000"/>
          <w:sz w:val="21"/>
          <w:rtl w:val="off"/>
          <w:lang w:val="en-US"/>
        </w:rPr>
        <w:t>16 363, 800 тыс. рублей;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times"/>
          <w:color w:val="000000"/>
          <w:sz w:val="21"/>
          <w:lang w:val="en-US"/>
        </w:rPr>
      </w:pPr>
      <w:r>
        <w:rPr>
          <w:rFonts w:ascii="times"/>
          <w:color w:val="000000"/>
          <w:sz w:val="21"/>
          <w:rtl w:val="off"/>
          <w:lang w:val="en-US"/>
        </w:rPr>
        <w:t>3) верхний предел муниципального внутреннего долга по состоянию на 1 января 2021 года в сумме 0,000 тыс. рублей, в</w:t>
      </w:r>
      <w:r>
        <w:rPr>
          <w:rFonts w:ascii="times"/>
          <w:color w:val="000000"/>
          <w:sz w:val="21"/>
          <w:rtl w:val="off"/>
          <w:lang w:val="en-US"/>
        </w:rPr>
        <w:t xml:space="preserve">  </w:t>
      </w:r>
      <w:r>
        <w:rPr>
          <w:rFonts w:ascii="times"/>
          <w:color w:val="000000"/>
          <w:sz w:val="21"/>
          <w:rtl w:val="off"/>
          <w:lang w:val="en-US"/>
        </w:rPr>
        <w:t>том числе верхний предел муниципального долга по муниципальным гарантиям в сумме 0,000 тыс. рублей;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times"/>
          <w:color w:val="000000"/>
          <w:sz w:val="21"/>
          <w:lang w:val="en-US"/>
        </w:rPr>
      </w:pPr>
      <w:r>
        <w:rPr>
          <w:rFonts w:ascii="times"/>
          <w:color w:val="000000"/>
          <w:sz w:val="21"/>
          <w:rtl w:val="off"/>
          <w:lang w:val="en-US"/>
        </w:rPr>
        <w:t>4) дефицит бюджета сельского поселения в сумме 1350,000 тыс. рублей.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times"/>
          <w:color w:val="000000"/>
          <w:sz w:val="21"/>
          <w:lang w:val="en-US"/>
        </w:rPr>
      </w:pPr>
      <w:r>
        <w:rPr>
          <w:rFonts w:ascii="times"/>
          <w:color w:val="000000"/>
          <w:sz w:val="21"/>
          <w:rtl w:val="off"/>
          <w:lang w:val="en-US"/>
        </w:rPr>
        <w:t xml:space="preserve">2. Утвердить основные характеристики и иные показатели бюджета Мирненского сельского поселения на 2022 год: 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times"/>
          <w:color w:val="000000"/>
          <w:sz w:val="21"/>
          <w:lang w:val="en-US"/>
        </w:rPr>
      </w:pPr>
      <w:r>
        <w:rPr>
          <w:rFonts w:ascii="times"/>
          <w:color w:val="000000"/>
          <w:sz w:val="21"/>
          <w:rtl w:val="off"/>
          <w:lang w:val="en-US"/>
        </w:rPr>
        <w:t xml:space="preserve">1) общий объем доходов бюджета сельского поселения в сумме 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times"/>
          <w:color w:val="000000"/>
          <w:sz w:val="21"/>
          <w:lang w:val="en-US"/>
        </w:rPr>
      </w:pPr>
      <w:r>
        <w:rPr>
          <w:rFonts w:ascii="times"/>
          <w:color w:val="000000"/>
          <w:sz w:val="21"/>
          <w:rtl w:val="off"/>
          <w:lang w:val="en-US"/>
        </w:rPr>
        <w:t>15 358,790 тыс. рублей, из них: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times"/>
          <w:color w:val="000000"/>
          <w:sz w:val="21"/>
          <w:lang w:val="en-US"/>
        </w:rPr>
      </w:pPr>
      <w:r>
        <w:rPr>
          <w:rFonts w:ascii="times"/>
          <w:color w:val="000000"/>
          <w:sz w:val="21"/>
          <w:rtl w:val="off"/>
          <w:lang w:val="en-US"/>
        </w:rPr>
        <w:t>- налоговые и неналоговые доходы в сумме 13 837,000 тыс. рублей;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times"/>
          <w:color w:val="000000"/>
          <w:sz w:val="21"/>
          <w:lang w:val="en-US"/>
        </w:rPr>
      </w:pPr>
      <w:r>
        <w:rPr>
          <w:rFonts w:ascii="times"/>
          <w:color w:val="000000"/>
          <w:sz w:val="21"/>
          <w:rtl w:val="off"/>
          <w:lang w:val="en-US"/>
        </w:rPr>
        <w:t>- безвозмездные поступления 1 521,790 тыс. рублей, в том числе безвозмездные поступления из других бюджетов – 1 521,790 тыс. рублей;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times"/>
          <w:color w:val="000000"/>
          <w:sz w:val="21"/>
          <w:lang w:val="en-US"/>
        </w:rPr>
      </w:pPr>
      <w:r>
        <w:rPr>
          <w:rFonts w:ascii="times"/>
          <w:color w:val="000000"/>
          <w:sz w:val="21"/>
          <w:rtl w:val="off"/>
          <w:lang w:val="en-US"/>
        </w:rPr>
        <w:t xml:space="preserve">2) общий объем расходов бюджета сельского поселения в сумме 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times"/>
          <w:color w:val="000000"/>
          <w:sz w:val="21"/>
          <w:lang w:val="en-US"/>
        </w:rPr>
      </w:pPr>
      <w:r>
        <w:rPr>
          <w:rFonts w:ascii="times"/>
          <w:color w:val="000000"/>
          <w:sz w:val="21"/>
          <w:rtl w:val="off"/>
          <w:lang w:val="en-US"/>
        </w:rPr>
        <w:t>16 742,790 тыс. рублей; в том числе условно утвержденные расходы в сумме 410,380 тыс.рублей;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times"/>
          <w:color w:val="000000"/>
          <w:sz w:val="21"/>
          <w:lang w:val="en-US"/>
        </w:rPr>
      </w:pPr>
      <w:r>
        <w:rPr>
          <w:rFonts w:ascii="times"/>
          <w:color w:val="000000"/>
          <w:sz w:val="21"/>
          <w:rtl w:val="off"/>
          <w:lang w:val="en-US"/>
        </w:rPr>
        <w:t>3) верхний предел муниципального внутреннего долга по состоянию на 1 января 2022 года в сумме 0,000 тыс. рублей, в том числе верхний предел муниципального долга по муниципальным гарантиям в сумме 0,000 тыс. рублей;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times"/>
          <w:color w:val="000000"/>
          <w:sz w:val="21"/>
          <w:lang w:val="en-US"/>
        </w:rPr>
      </w:pPr>
      <w:r>
        <w:rPr>
          <w:rFonts w:ascii="times"/>
          <w:color w:val="000000"/>
          <w:sz w:val="21"/>
          <w:rtl w:val="off"/>
          <w:lang w:val="en-US"/>
        </w:rPr>
        <w:t>4) дефицит бюджета сельского поселения в сумме 1384,000 тыс. рублей.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times"/>
          <w:color w:val="000000"/>
          <w:sz w:val="21"/>
          <w:lang w:val="en-US"/>
        </w:rPr>
      </w:pPr>
      <w:r>
        <w:rPr>
          <w:rFonts w:ascii="times"/>
          <w:color w:val="000000"/>
          <w:sz w:val="21"/>
          <w:rtl w:val="off"/>
          <w:lang w:val="en-US"/>
        </w:rPr>
        <w:t xml:space="preserve">3. Утвердить основные характеристики и иные показатели бюджета Мирненского сельского поселения на 2023 год: 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times"/>
          <w:color w:val="000000"/>
          <w:sz w:val="21"/>
          <w:lang w:val="en-US"/>
        </w:rPr>
      </w:pPr>
      <w:r>
        <w:rPr>
          <w:rFonts w:ascii="times"/>
          <w:color w:val="000000"/>
          <w:sz w:val="21"/>
          <w:rtl w:val="off"/>
          <w:lang w:val="en-US"/>
        </w:rPr>
        <w:t>1) общий объем доходов бюджета сельского поселения в сумме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times"/>
          <w:color w:val="000000"/>
          <w:sz w:val="21"/>
          <w:lang w:val="en-US"/>
        </w:rPr>
      </w:pPr>
      <w:r>
        <w:rPr>
          <w:rFonts w:ascii="times"/>
          <w:color w:val="000000"/>
          <w:sz w:val="21"/>
          <w:rtl w:val="off"/>
          <w:lang w:val="en-US"/>
        </w:rPr>
        <w:t>17 444,540 тыс. рублей, из них: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times"/>
          <w:color w:val="000000"/>
          <w:sz w:val="21"/>
          <w:lang w:val="en-US"/>
        </w:rPr>
      </w:pPr>
      <w:r>
        <w:rPr>
          <w:rFonts w:ascii="times"/>
          <w:color w:val="000000"/>
          <w:sz w:val="21"/>
          <w:rtl w:val="off"/>
          <w:lang w:val="en-US"/>
        </w:rPr>
        <w:t>- налоговые и неналоговые доходы в сумме 14 459,00 тыс. рублей;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times"/>
          <w:color w:val="000000"/>
          <w:sz w:val="21"/>
          <w:lang w:val="en-US"/>
        </w:rPr>
      </w:pPr>
      <w:r>
        <w:rPr>
          <w:rFonts w:ascii="times"/>
          <w:color w:val="000000"/>
          <w:sz w:val="21"/>
          <w:rtl w:val="off"/>
          <w:lang w:val="en-US"/>
        </w:rPr>
        <w:t>- безвозмездные поступления 1 539,540 тыс. рублей, в том числе безвозмездные поступления из других бюджетов – 1 539,540 тыс. рублей;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times"/>
          <w:color w:val="000000"/>
          <w:sz w:val="21"/>
          <w:lang w:val="en-US"/>
        </w:rPr>
      </w:pPr>
      <w:r>
        <w:rPr>
          <w:rFonts w:ascii="times"/>
          <w:color w:val="000000"/>
          <w:sz w:val="21"/>
          <w:rtl w:val="off"/>
          <w:lang w:val="en-US"/>
        </w:rPr>
        <w:t xml:space="preserve">2) общий объем расходов бюджета сельского поселения в сумме 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times"/>
          <w:color w:val="000000"/>
          <w:sz w:val="21"/>
          <w:lang w:val="en-US"/>
        </w:rPr>
      </w:pPr>
      <w:r>
        <w:rPr>
          <w:rFonts w:ascii="times"/>
          <w:color w:val="000000"/>
          <w:sz w:val="21"/>
          <w:rtl w:val="off"/>
          <w:lang w:val="en-US"/>
        </w:rPr>
        <w:t>17 444,540 тыс. рублей; в том числе условно утвержденные расходы в сумме 855,180 тыс.рублей;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times"/>
          <w:color w:val="000000"/>
          <w:sz w:val="21"/>
          <w:lang w:val="en-US"/>
        </w:rPr>
      </w:pPr>
      <w:r>
        <w:rPr>
          <w:rFonts w:ascii="times"/>
          <w:color w:val="000000"/>
          <w:sz w:val="21"/>
          <w:rtl w:val="off"/>
          <w:lang w:val="en-US"/>
        </w:rPr>
        <w:t>3) верхний предел муниципального внутреннего долга по состоянию на 1 января 2023 года в сумме 0,000 тыс. рублей, в том числе верхний предел муниципального долга по муниципальным гарантиям в сумме 0,000 тыс. рублей;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times"/>
          <w:color w:val="000000"/>
          <w:sz w:val="21"/>
          <w:lang w:val="en-US"/>
        </w:rPr>
      </w:pPr>
      <w:r>
        <w:rPr>
          <w:rFonts w:ascii="times"/>
          <w:color w:val="000000"/>
          <w:sz w:val="21"/>
          <w:rtl w:val="off"/>
          <w:lang w:val="en-US"/>
        </w:rPr>
        <w:t>4) дефицит бюджета сельского поселения в сумме 1446,000 тыс. рублей.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center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 xml:space="preserve">Прогноз 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center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основных характеристик (общий объем доходов, общий объем расходов, дефицит (профицит) бюджета)</w:t>
      </w:r>
      <w:r>
        <w:rPr>
          <w:rFonts w:ascii="times new roman"/>
          <w:color w:val="000000"/>
          <w:sz w:val="21"/>
          <w:rtl w:val="off"/>
          <w:lang w:val="en-US"/>
        </w:rPr>
        <w:t xml:space="preserve">  </w:t>
      </w:r>
      <w:r>
        <w:rPr>
          <w:rFonts w:ascii="times new roman"/>
          <w:color w:val="000000"/>
          <w:sz w:val="21"/>
          <w:rtl w:val="off"/>
          <w:lang w:val="en-US"/>
        </w:rPr>
        <w:t>бюджета Мирненского сельского поселения Хабаровского муниципального района на 2021 год и на плановый период 2022 и 2023 годов</w:t>
      </w:r>
    </w:p>
    <w:tbl>
      <w:tblPr>
        <w:bidiVisual w:val="off"/>
        <w:tblW w:w="5457" w:type="dxa"/>
        <w:jc w:val="left"/>
        <w:tblBorders>
          <w:top w:val="single" w:color="000000" w:sz="6" w:space="0"/>
          <w:left w:val="single" w:color="000000" w:sz="6" w:space="0"/>
          <w:bottom w:val="single" w:color="000000" w:sz="6" w:space="0"/>
          <w:right w:val="single" w:color="000000" w:sz="6" w:space="0"/>
          <w:insideH w:val="single" w:color="000000" w:sz="6" w:space="0"/>
          <w:insideV w:val="single" w:color="000000" w:sz="6" w:space="0"/>
        </w:tblBorders>
        <w:tblLayout w:type="fixed"/>
        <w:tblCellMar>
          <w:top w:w="10" w:type="dxa"/>
          <w:left w:w="10" w:type="dxa"/>
          <w:bottom w:w="10" w:type="dxa"/>
          <w:right w:w="10" w:type="dxa"/>
        </w:tblCellMar>
      </w:tblPr>
      <w:tblGrid>
        <w:gridCol w:w="481"/>
        <w:gridCol w:w="494"/>
        <w:gridCol w:w="1056"/>
        <w:gridCol w:w="869"/>
        <w:gridCol w:w="2557"/>
      </w:tblGrid>
      <w:tr>
        <w:trPr>
          <w:wBefore w:w="0" w:type="dxa"/>
          <w:jc w:val="left"/>
        </w:trPr>
        <w:tc>
          <w:tcPr>
            <w:cnfStyle w:val="100010000000"/>
            <w:tcW w:w="481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21"/>
                <w:lang w:val="en-US"/>
              </w:rPr>
            </w:pPr>
            <w:r>
              <w:rPr>
                <w:rFonts w:ascii="times new roman"/>
                <w:color w:val="000000"/>
                <w:sz w:val="21"/>
                <w:rtl w:val="off"/>
                <w:lang w:val="en-US"/>
              </w:rPr>
              <w:t>№ п/п</w:t>
            </w:r>
          </w:p>
        </w:tc>
        <w:tc>
          <w:tcPr>
            <w:cnfStyle w:val="100001000000"/>
            <w:tcW w:w="494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21"/>
                <w:lang w:val="en-US"/>
              </w:rPr>
            </w:pPr>
            <w:r>
              <w:rPr>
                <w:rFonts w:ascii="times new roman"/>
                <w:color w:val="000000"/>
                <w:sz w:val="21"/>
                <w:rtl w:val="off"/>
                <w:lang w:val="en-US"/>
              </w:rPr>
              <w:t>Показатели</w:t>
            </w:r>
          </w:p>
        </w:tc>
        <w:tc>
          <w:tcPr>
            <w:cnfStyle w:val="100010000000"/>
            <w:tcW w:w="1056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21"/>
                <w:lang w:val="en-US"/>
              </w:rPr>
            </w:pPr>
            <w:r>
              <w:rPr>
                <w:rFonts w:ascii="times new roman"/>
                <w:color w:val="000000"/>
                <w:sz w:val="21"/>
                <w:rtl w:val="off"/>
                <w:lang w:val="en-US"/>
              </w:rPr>
              <w:t>2021 год</w:t>
            </w:r>
          </w:p>
        </w:tc>
        <w:tc>
          <w:tcPr>
            <w:cnfStyle w:val="100001000000"/>
            <w:tcW w:w="869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21"/>
                <w:lang w:val="en-US"/>
              </w:rPr>
            </w:pPr>
            <w:r>
              <w:rPr>
                <w:rFonts w:ascii="times new roman"/>
                <w:color w:val="000000"/>
                <w:sz w:val="21"/>
                <w:rtl w:val="off"/>
                <w:lang w:val="en-US"/>
              </w:rPr>
              <w:t>2022 год</w:t>
            </w:r>
          </w:p>
        </w:tc>
        <w:tc>
          <w:tcPr>
            <w:cnfStyle w:val="100010000000"/>
            <w:tcW w:w="2557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21"/>
                <w:lang w:val="en-US"/>
              </w:rPr>
            </w:pPr>
            <w:r>
              <w:rPr>
                <w:rFonts w:ascii="times new roman"/>
                <w:color w:val="000000"/>
                <w:sz w:val="21"/>
                <w:rtl w:val="off"/>
                <w:lang w:val="en-US"/>
              </w:rPr>
              <w:t>2023 год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481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21"/>
                <w:lang w:val="en-US"/>
              </w:rPr>
            </w:pPr>
            <w:r>
              <w:rPr>
                <w:rFonts w:ascii="times new roman"/>
                <w:color w:val="000000"/>
                <w:sz w:val="21"/>
                <w:rtl w:val="off"/>
                <w:lang w:val="en-US"/>
              </w:rPr>
              <w:t>А</w:t>
            </w:r>
          </w:p>
        </w:tc>
        <w:tc>
          <w:tcPr>
            <w:cnfStyle w:val="000001000000"/>
            <w:tcW w:w="494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21"/>
                <w:lang w:val="en-US"/>
              </w:rPr>
            </w:pPr>
            <w:r>
              <w:rPr>
                <w:rFonts w:ascii="times new roman"/>
                <w:color w:val="000000"/>
                <w:sz w:val="21"/>
                <w:rtl w:val="off"/>
                <w:lang w:val="en-US"/>
              </w:rPr>
              <w:t>1</w:t>
            </w:r>
          </w:p>
        </w:tc>
        <w:tc>
          <w:tcPr>
            <w:cnfStyle w:val="000010000000"/>
            <w:tcW w:w="1056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21"/>
                <w:lang w:val="en-US"/>
              </w:rPr>
            </w:pPr>
            <w:r>
              <w:rPr>
                <w:rFonts w:ascii="times new roman"/>
                <w:color w:val="000000"/>
                <w:sz w:val="21"/>
                <w:rtl w:val="off"/>
                <w:lang w:val="en-US"/>
              </w:rPr>
              <w:t>3</w:t>
            </w:r>
          </w:p>
        </w:tc>
        <w:tc>
          <w:tcPr>
            <w:cnfStyle w:val="000001000000"/>
            <w:tcW w:w="869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21"/>
                <w:lang w:val="en-US"/>
              </w:rPr>
            </w:pPr>
            <w:r>
              <w:rPr>
                <w:rFonts w:ascii="times new roman"/>
                <w:color w:val="000000"/>
                <w:sz w:val="21"/>
                <w:rtl w:val="off"/>
                <w:lang w:val="en-US"/>
              </w:rPr>
              <w:t>4</w:t>
            </w:r>
          </w:p>
        </w:tc>
        <w:tc>
          <w:tcPr>
            <w:cnfStyle w:val="000010000000"/>
            <w:tcW w:w="2557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21"/>
                <w:lang w:val="en-US"/>
              </w:rPr>
            </w:pPr>
            <w:r>
              <w:rPr>
                <w:rFonts w:ascii="times new roman"/>
                <w:color w:val="000000"/>
                <w:sz w:val="21"/>
                <w:rtl w:val="off"/>
                <w:lang w:val="en-US"/>
              </w:rPr>
              <w:t>4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481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21"/>
                <w:lang w:val="en-US"/>
              </w:rPr>
            </w:pPr>
            <w:r>
              <w:rPr>
                <w:rFonts w:ascii="times new roman"/>
                <w:color w:val="000000"/>
                <w:sz w:val="21"/>
                <w:rtl w:val="off"/>
                <w:lang w:val="en-US"/>
              </w:rPr>
              <w:t>1.</w:t>
            </w:r>
          </w:p>
        </w:tc>
        <w:tc>
          <w:tcPr>
            <w:cnfStyle w:val="000001000000"/>
            <w:tcW w:w="494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21"/>
                <w:lang w:val="en-US"/>
              </w:rPr>
            </w:pPr>
            <w:r>
              <w:rPr>
                <w:rFonts w:ascii="times new roman"/>
                <w:color w:val="000000"/>
                <w:sz w:val="21"/>
                <w:rtl w:val="off"/>
                <w:lang w:val="en-US"/>
              </w:rPr>
              <w:t>Доходы</w:t>
            </w:r>
          </w:p>
        </w:tc>
        <w:tc>
          <w:tcPr>
            <w:cnfStyle w:val="000010000000"/>
            <w:tcW w:w="1056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21"/>
                <w:lang w:val="en-US"/>
              </w:rPr>
            </w:pPr>
            <w:r>
              <w:rPr>
                <w:rFonts w:ascii="times new roman"/>
                <w:color w:val="000000"/>
                <w:sz w:val="21"/>
                <w:rtl w:val="off"/>
                <w:lang w:val="en-US"/>
              </w:rPr>
              <w:t>15 013,800</w:t>
            </w:r>
          </w:p>
        </w:tc>
        <w:tc>
          <w:tcPr>
            <w:cnfStyle w:val="000001000000"/>
            <w:tcW w:w="869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21"/>
                <w:lang w:val="en-US"/>
              </w:rPr>
            </w:pPr>
            <w:r>
              <w:rPr>
                <w:rFonts w:ascii="times new roman"/>
                <w:color w:val="000000"/>
                <w:sz w:val="21"/>
                <w:rtl w:val="off"/>
                <w:lang w:val="en-US"/>
              </w:rPr>
              <w:t>15 358,790</w:t>
            </w:r>
          </w:p>
        </w:tc>
        <w:tc>
          <w:tcPr>
            <w:cnfStyle w:val="000010000000"/>
            <w:tcW w:w="2557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21"/>
                <w:lang w:val="en-US"/>
              </w:rPr>
            </w:pPr>
            <w:r>
              <w:rPr>
                <w:rFonts w:ascii="times new roman"/>
                <w:color w:val="000000"/>
                <w:sz w:val="21"/>
                <w:rtl w:val="off"/>
                <w:lang w:val="en-US"/>
              </w:rPr>
              <w:t>15 998,540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481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21"/>
                <w:lang w:val="en-US"/>
              </w:rPr>
            </w:pPr>
            <w:r>
              <w:rPr>
                <w:rFonts w:ascii="times new roman"/>
                <w:color w:val="000000"/>
                <w:sz w:val="21"/>
                <w:rtl w:val="off"/>
                <w:lang w:val="en-US"/>
              </w:rPr>
              <w:t>2.</w:t>
            </w:r>
          </w:p>
        </w:tc>
        <w:tc>
          <w:tcPr>
            <w:cnfStyle w:val="000001000000"/>
            <w:tcW w:w="494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21"/>
                <w:lang w:val="en-US"/>
              </w:rPr>
            </w:pPr>
            <w:r>
              <w:rPr>
                <w:rFonts w:ascii="times new roman"/>
                <w:color w:val="000000"/>
                <w:sz w:val="21"/>
                <w:rtl w:val="off"/>
                <w:lang w:val="en-US"/>
              </w:rPr>
              <w:t>Расходы</w:t>
            </w:r>
          </w:p>
        </w:tc>
        <w:tc>
          <w:tcPr>
            <w:cnfStyle w:val="000010000000"/>
            <w:tcW w:w="1056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21"/>
                <w:lang w:val="en-US"/>
              </w:rPr>
            </w:pPr>
            <w:r>
              <w:rPr>
                <w:rFonts w:ascii="times new roman"/>
                <w:color w:val="000000"/>
                <w:sz w:val="21"/>
                <w:rtl w:val="off"/>
                <w:lang w:val="en-US"/>
              </w:rPr>
              <w:t>16 363,800</w:t>
            </w:r>
          </w:p>
        </w:tc>
        <w:tc>
          <w:tcPr>
            <w:cnfStyle w:val="000001000000"/>
            <w:tcW w:w="869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21"/>
                <w:lang w:val="en-US"/>
              </w:rPr>
            </w:pPr>
            <w:r>
              <w:rPr>
                <w:rFonts w:ascii="times new roman"/>
                <w:color w:val="000000"/>
                <w:sz w:val="21"/>
                <w:rtl w:val="off"/>
                <w:lang w:val="en-US"/>
              </w:rPr>
              <w:t>16 742,790</w:t>
            </w:r>
          </w:p>
        </w:tc>
        <w:tc>
          <w:tcPr>
            <w:cnfStyle w:val="000010000000"/>
            <w:tcW w:w="2557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21"/>
                <w:lang w:val="en-US"/>
              </w:rPr>
            </w:pPr>
            <w:r>
              <w:rPr>
                <w:rFonts w:ascii="times new roman"/>
                <w:color w:val="000000"/>
                <w:sz w:val="21"/>
                <w:rtl w:val="off"/>
                <w:lang w:val="en-US"/>
              </w:rPr>
              <w:t>17 444,54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481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21"/>
                <w:lang w:val="en-US"/>
              </w:rPr>
            </w:pPr>
            <w:r>
              <w:rPr>
                <w:rFonts w:ascii="times new roman"/>
                <w:color w:val="000000"/>
                <w:sz w:val="21"/>
                <w:rtl w:val="off"/>
                <w:lang w:val="en-US"/>
              </w:rPr>
              <w:t>3.</w:t>
            </w:r>
          </w:p>
        </w:tc>
        <w:tc>
          <w:tcPr>
            <w:cnfStyle w:val="000001000000"/>
            <w:tcW w:w="494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21"/>
                <w:lang w:val="en-US"/>
              </w:rPr>
            </w:pPr>
            <w:r>
              <w:rPr>
                <w:rFonts w:ascii="times new roman"/>
                <w:color w:val="000000"/>
                <w:sz w:val="21"/>
                <w:rtl w:val="off"/>
                <w:lang w:val="en-US"/>
              </w:rPr>
              <w:t>Дефицит (профицит)</w:t>
            </w:r>
          </w:p>
        </w:tc>
        <w:tc>
          <w:tcPr>
            <w:cnfStyle w:val="000010000000"/>
            <w:tcW w:w="1056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21"/>
                <w:lang w:val="en-US"/>
              </w:rPr>
            </w:pPr>
            <w:r>
              <w:rPr>
                <w:rFonts w:ascii="times new roman"/>
                <w:color w:val="000000"/>
                <w:sz w:val="21"/>
                <w:rtl w:val="off"/>
                <w:lang w:val="en-US"/>
              </w:rPr>
              <w:t>-1350,000</w:t>
            </w:r>
          </w:p>
        </w:tc>
        <w:tc>
          <w:tcPr>
            <w:cnfStyle w:val="000001000000"/>
            <w:tcW w:w="869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21"/>
                <w:lang w:val="en-US"/>
              </w:rPr>
            </w:pPr>
            <w:r>
              <w:rPr>
                <w:rFonts w:ascii="times new roman"/>
                <w:color w:val="000000"/>
                <w:sz w:val="21"/>
                <w:rtl w:val="off"/>
                <w:lang w:val="en-US"/>
              </w:rPr>
              <w:t>-1384,000</w:t>
            </w:r>
          </w:p>
        </w:tc>
        <w:tc>
          <w:tcPr>
            <w:cnfStyle w:val="000010000000"/>
            <w:tcW w:w="2557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21"/>
                <w:lang w:val="en-US"/>
              </w:rPr>
            </w:pPr>
            <w:r>
              <w:rPr>
                <w:rFonts w:ascii="times new roman"/>
                <w:color w:val="000000"/>
                <w:sz w:val="21"/>
                <w:rtl w:val="off"/>
                <w:lang w:val="en-US"/>
              </w:rPr>
              <w:t>-1446,000</w:t>
            </w:r>
          </w:p>
        </w:tc>
      </w:tr>
    </w:tbl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left"/>
        <w:rPr>
          <w:rFonts w:ascii="times new roman"/>
          <w:color w:val="000000"/>
          <w:sz w:val="18"/>
          <w:lang w:val="en-US"/>
        </w:rPr>
      </w:pPr>
      <w:r>
        <w:rPr>
          <w:rFonts w:ascii="times new roman"/>
          <w:color w:val="000000"/>
          <w:sz w:val="18"/>
          <w:rtl w:val="off"/>
          <w:lang w:val="en-US"/>
        </w:rPr>
        <w:t xml:space="preserve">                                                                                                                                        </w:t>
      </w:r>
      <w:r>
        <w:rPr>
          <w:rFonts w:ascii="times new roman"/>
          <w:color w:val="000000"/>
          <w:sz w:val="18"/>
          <w:rtl w:val="off"/>
          <w:lang w:val="en-US"/>
        </w:rPr>
        <w:t>(тыс.руб.)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sectPr>
      <w:footnotePr/>
      <w:type w:val="nextPage"/>
      <w:pgSz w:w="11906" w:h="16838" w:orient="portrait"/>
      <w:pgMar w:top="1440" w:right="1440" w:bottom="1440" w:left="1440" w:header="708" w:footer="708" w:gutter="0"/>
      <w:paperSrc w:first="1" w:other="1"/>
      <w:cols w:equalWidth="1" w:space="720" w:num="1" w:sep="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Arial">
    <w:panose1 w:val="020b0604020202020204"/>
    <w:charset w:val="00"/>
    <w:family w:val="swiss"/>
    <w:pitch w:val="variable"/>
    <w:sig w:usb0="20002a87" w:usb1="00000000" w:usb2="00000008" w:usb3="00000000" w:csb0="000001ff" w:csb1="00000000"/>
  </w:font>
  <w:font w:name="Calibri">
    <w:panose1 w:val="020f0502020204030204"/>
    <w:charset w:val="00"/>
    <w:family w:val="swiss"/>
    <w:pitch w:val="variable"/>
    <w:sig w:usb0="00000000" w:usb1="4000207b" w:usb2="00000000" w:usb3="00000000" w:csb0="0000009f" w:csb1="00000000"/>
  </w:font>
  <w:font w:name="Cambria">
    <w:panose1 w:val="02040503050406030204"/>
    <w:charset w:val="00"/>
    <w:family w:val="roman"/>
    <w:pitch w:val="variable"/>
    <w:sig w:usb0="00000000" w:usb1="4000004b" w:usb2="00000000" w:usb3="00000000" w:csb0="0000009f" w:csb1="00000000"/>
  </w:font>
  <w:font w:name="Courier New">
    <w:panose1 w:val="02070309020205020404"/>
    <w:charset w:val="00"/>
    <w:family w:val="modern"/>
    <w:pitch w:val="fixed"/>
    <w:sig w:usb0="00000000" w:usb1="00000000" w:usb2="00000009" w:usb3="00000000" w:csb0="000001ff" w:csb1="00000000"/>
  </w:font>
  <w:font w:name="Times New Roman">
    <w:panose1 w:val="02020603050405020304"/>
    <w:charset w:val="00"/>
    <w:family w:val="roman"/>
    <w:pitch w:val="variable"/>
    <w:sig w:usb0="20002a87" w:usb1="00000000" w:usb2="00000008" w:usb3="00000000" w:csb0="000001ff" w:csb1="00000000"/>
  </w:font>
  <w:font w:name="Tahoma">
    <w:panose1 w:val="020b0604030504040204"/>
    <w:charset w:val="00"/>
    <w:family w:val="roman"/>
    <w:pitch w:val="variable"/>
    <w:sig w:usb0="61002a87" w:usb1="00000000" w:usb2="00000008" w:usb3="00000000" w:csb0="000001ff" w:csb1="00000000"/>
  </w:font>
  <w:font w:name="Verdana">
    <w:panose1 w:val="020b0604030504040204"/>
    <w:charset w:val="00"/>
    <w:family w:val="roman"/>
    <w:pitch w:val="variable"/>
    <w:sig w:usb0="00000000" w:usb1="4000205b" w:usb2="00000010" w:usb3="00000000" w:csb0="0000019f" w:csb1="00000000"/>
  </w:font>
  <w:font w:name="Symbol">
    <w:panose1 w:val="05050102010706020507"/>
    <w:charset w:val="02"/>
    <w:family w:val="roman"/>
    <w:notTrueType w:val="on"/>
    <w:pitch w:val="variable"/>
  </w:font>
  <w:font w:name="Wingdings">
    <w:panose1 w:val="05000000000000000000"/>
    <w:charset w:val="02"/>
    <w:family w:val="auto"/>
    <w:notTrueType w:val="on"/>
    <w:pitch w:val="variable"/>
  </w:font>
  <w:font w:name="Helvetica Neue">
    <w:charset w:val="00"/>
    <w:family w:val="swiss"/>
    <w:pitch w:val="variable"/>
  </w:font>
  <w:font w:name="arial">
    <w:charset w:val="00"/>
  </w:font>
  <w:font w:name="Segoe UI">
    <w:charset w:val="00"/>
  </w:font>
  <w:font w:name="times new roman">
    <w:charset w:val="00"/>
  </w:font>
  <w:font w:name="helvetica">
    <w:charset w:val="00"/>
  </w:font>
  <w:font w:name="helveticaneuecyrroman">
    <w:charset w:val="00"/>
  </w:font>
  <w:font w:name="times">
    <w:charset w:val="00"/>
  </w:font>
  <w:font w:name="courier new">
    <w:charset w:val="00"/>
  </w:font>
  <w:font w:name="latoweb">
    <w:charset w:val="00"/>
  </w:font>
  <w:font w:name="-webkit-standard">
    <w:charset w:val="00"/>
  </w:font>
  <w:font w:name="roboto">
    <w:charset w:val="00"/>
  </w:font>
  <w:font w:name="calibri">
    <w:charset w:val="00"/>
  </w:font>
  <w:font w:name="open sans">
    <w:charset w:val="00"/>
  </w:font>
  <w:font w:name="lucida grande">
    <w:charset w:val="00"/>
  </w:font>
  <w:font w:name="verdana">
    <w:charset w:val="00"/>
  </w:font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ne="http://schemas.microsoft.com/office/word/2006/wordml" xmlns:w14="http://schemas.microsoft.com/office/word/2010/wordml" xmlns:w="http://schemas.openxmlformats.org/wordprocessingml/2006/main">
  <w:abstractNum w:abstractNumId="0"/>
  <w:abstractNum w:abstractNumId="1"/>
  <w:abstractNum w:abstractNumId="2"/>
  <w:abstractNum w:abstractNumId="3"/>
  <w:num w:numId="1">
    <w:abstractNumId w:val="0"/>
    <w:lvlOverride w:ilvl="0">
      <w:lvl w:ilvl="0" w:tentative="1">
        <w:numFmt w:val="bullet"/>
        <w:suff w:val="tab"/>
        <w:lvlText w:val="·"/>
        <w:rPr/>
      </w:lvl>
    </w:lvlOverride>
  </w:num>
  <w:num w:numId="2">
    <w:abstractNumId w:val="1"/>
    <w:lvlOverride w:ilvl="0">
      <w:lvl w:ilvl="0" w:tentative="1">
        <w:numFmt w:val="bullet"/>
        <w:suff w:val="tab"/>
        <w:lvlText w:val="·"/>
        <w:rPr/>
      </w:lvl>
    </w:lvlOverride>
  </w:num>
  <w:num w:numId="3">
    <w:abstractNumId w:val="2"/>
    <w:lvlOverride w:ilvl="0">
      <w:lvl w:ilvl="0" w:tentative="1">
        <w:numFmt w:val="bullet"/>
        <w:suff w:val="tab"/>
        <w:lvlText w:val="·"/>
        <w:rPr/>
      </w:lvl>
    </w:lvlOverride>
  </w:num>
  <w:num w:numId="4">
    <w:abstractNumId w:val="3"/>
    <w:lvlOverride w:ilvl="0">
      <w:lvl w:ilvl="0" w:tentative="1">
        <w:numFmt w:val="bullet"/>
        <w:suff w:val="tab"/>
        <w:lvlText w:val="·"/>
        <w:rPr/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20"/>
  <w:compat>
    <w:compatSetting w:name="compatibilityMode" w:uri="http://schemas.microsoft.com/office/word" w:val="14"/>
  </w:compat>
  <w:themeFontLang w:val="en-US" w:eastAsia="zh-CN" w:bidi="ar-SA"/>
  <w:clrSchemeMapping w:accent1="accent1" w:accent2="accent2" w:accent3="accent3" w:accent4="accent4" w:accent5="accent5" w:accent6="accent6" w:bg1="light1" w:bg2="light2" w:followedHyperlink="followedHyperlink" w:hyperlink="hyperlink" w:text1="dark1" w:text2="dark2"/>
  <w:footnotePr/>
  <w:endnotePr/>
  <w:trackRevisions w:val="off"/>
</w:settings>
</file>

<file path=word/styles.xml><?xml version="1.0" encoding="utf-8"?>
<w:styles xmlns:r="http://schemas.openxmlformats.org/officeDocument/2006/relationships" xmlns:w14="http://schemas.microsoft.com/office/word/2010/wordml" xmlns:w="http://schemas.openxmlformats.org/wordprocessingml/2006/main">
  <w:docDefaults>
    <w:rPrDefault>
      <w:rPr>
        <w:rFonts w:asciiTheme="minorHAnsi" w:cstheme="minorBidi" w:eastAsiaTheme="minorEastAsia" w:hAnsiTheme="minorHAnsi"/>
        <w:sz w:val="22"/>
        <w:szCs w:val="22"/>
      </w:rPr>
    </w:rPrDefault>
    <w:pPrDefault>
      <w:pPr>
        <w:spacing w:after="200" w:line="276" w:lineRule="auto"/>
      </w:pPr>
    </w:pPrDefault>
  </w:docDefaults>
  <w:style w:type="paragraph" w:default="1" w:styleId="Normal">
    <w:name w:val="Normal"/>
    <w:uiPriority w:val="0"/>
    <w:qFormat w:val="on"/>
  </w:style>
  <w:style w:type="paragraph" w:styleId="Heading1">
    <w:name w:val="Heading 1"/>
    <w:basedOn w:val="Normal"/>
    <w:next w:val="Normal"/>
    <w:link w:val="Heading1Char"/>
    <w:uiPriority w:val="9"/>
    <w:qFormat w:val="on"/>
    <w:pPr>
      <w:keepNext w:val="on"/>
      <w:keepLines w:val="on"/>
      <w:spacing w:before="480" w:after="0"/>
    </w:pPr>
    <w:rPr>
      <w:rFonts w:asciiTheme="majorHAnsi" w:cstheme="majorBidi" w:eastAsiaTheme="majorEastAsia" w:hAnsiTheme="majorHAnsi"/>
      <w:b/>
      <w:bCs/>
      <w:color w:val="2f5395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b/>
      <w:bCs/>
      <w:color w:val="4472c4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b/>
      <w:bCs/>
      <w:color w:val="4472c4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b/>
      <w:bCs/>
      <w:i/>
      <w:iCs/>
      <w:color w:val="4472c4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color w:val="1f3763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i/>
      <w:iCs/>
      <w:color w:val="1f3763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color w:val="404040" w:themeColor="text1" w:themeTint="bf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 w:val="on"/>
    <w:unhideWhenUsed w:val="on"/>
  </w:style>
  <w:style w:type="table" w:default="1" w:styleId="NormalTable">
    <w:name w:val="Normal Table"/>
    <w:uiPriority w:val="99"/>
    <w:semiHidden w:val="on"/>
    <w:unhideWhenUsed w:val="on"/>
    <w:qFormat w:val="on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 w:val="on"/>
    <w:unhideWhenUsed w:val="on"/>
  </w:style>
  <w:style w:type="paragraph" w:styleId="NoSpacing">
    <w:name w:val="No Spacing"/>
    <w:uiPriority w:val="1"/>
    <w:qFormat w:val="on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Pr>
      <w:rFonts w:asciiTheme="majorHAnsi" w:cstheme="majorBidi" w:eastAsiaTheme="majorEastAsia" w:hAnsiTheme="majorHAnsi"/>
      <w:b/>
      <w:bCs/>
      <w:color w:val="2f5395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Pr>
      <w:rFonts w:asciiTheme="majorHAnsi" w:cstheme="majorBidi" w:eastAsiaTheme="majorEastAsia" w:hAnsiTheme="majorHAnsi"/>
      <w:b/>
      <w:bCs/>
      <w:color w:val="4472c4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Pr>
      <w:rFonts w:asciiTheme="majorHAnsi" w:cstheme="majorBidi" w:eastAsiaTheme="majorEastAsia" w:hAnsiTheme="majorHAnsi"/>
      <w:b/>
      <w:bCs/>
      <w:color w:val="4472c4" w:themeColor="accent1"/>
    </w:rPr>
  </w:style>
  <w:style w:type="character" w:customStyle="1" w:styleId="Heading4Char">
    <w:name w:val="Heading 4 Char"/>
    <w:basedOn w:val="DefaultParagraphFont"/>
    <w:link w:val="Heading4"/>
    <w:uiPriority w:val="9"/>
    <w:rPr>
      <w:rFonts w:asciiTheme="majorHAnsi" w:cstheme="majorBidi" w:eastAsiaTheme="majorEastAsia" w:hAnsiTheme="majorHAnsi"/>
      <w:b/>
      <w:bCs/>
      <w:i/>
      <w:iCs/>
      <w:color w:val="4472c4" w:themeColor="accent1"/>
    </w:rPr>
  </w:style>
  <w:style w:type="character" w:customStyle="1" w:styleId="Heading5Char">
    <w:name w:val="Heading 5 Char"/>
    <w:basedOn w:val="DefaultParagraphFont"/>
    <w:link w:val="Heading5"/>
    <w:uiPriority w:val="9"/>
    <w:rPr>
      <w:rFonts w:asciiTheme="majorHAnsi" w:cstheme="majorBidi" w:eastAsiaTheme="majorEastAsia" w:hAnsiTheme="majorHAnsi"/>
      <w:color w:val="1f3763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rPr>
      <w:rFonts w:asciiTheme="majorHAnsi" w:cstheme="majorBidi" w:eastAsiaTheme="majorEastAsia" w:hAnsiTheme="majorHAnsi"/>
      <w:i/>
      <w:iCs/>
      <w:color w:val="1f3763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rPr>
      <w:rFonts w:asciiTheme="majorHAnsi" w:cstheme="majorBidi" w:eastAsiaTheme="majorEastAsia" w:hAnsiTheme="majorHAns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rPr>
      <w:rFonts w:asciiTheme="majorHAnsi" w:cstheme="majorBidi" w:eastAsiaTheme="majorEastAsia" w:hAnsiTheme="majorHAnsi"/>
      <w:color w:val="404040" w:themeColor="text1" w:themeTint="bf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rPr>
      <w:rFonts w:asciiTheme="majorHAnsi" w:cstheme="majorBidi" w:eastAsiaTheme="majorEastAsia" w:hAnsiTheme="majorHAnsi"/>
      <w:i/>
      <w:iCs/>
      <w:color w:val="404040" w:themeColor="text1" w:themeTint="bf"/>
      <w:sz w:val="20"/>
      <w:szCs w:val="20"/>
    </w:rPr>
  </w:style>
  <w:style w:type="paragraph" w:styleId="Title">
    <w:name w:val="Title"/>
    <w:basedOn w:val="Normal"/>
    <w:next w:val="Normal"/>
    <w:link w:val="TitleChar"/>
    <w:uiPriority w:val="10"/>
    <w:qFormat w:val="on"/>
    <w:pPr>
      <w:pBdr>
        <w:bottom w:val="single" w:color="4472c4" w:themeColor="accent1" w:sz="8" w:space="4"/>
      </w:pBdr>
      <w:spacing w:after="300" w:line="240" w:lineRule="auto"/>
      <w:contextualSpacing w:val="on"/>
    </w:pPr>
    <w:rPr>
      <w:rFonts w:asciiTheme="majorHAnsi" w:cstheme="majorBidi" w:eastAsiaTheme="majorEastAsia" w:hAnsiTheme="majorHAnsi"/>
      <w:color w:val="333f4f" w:themeColor="text2" w:themeShade="bf"/>
      <w:spacing w:val="5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Pr>
      <w:rFonts w:asciiTheme="majorHAnsi" w:cstheme="majorBidi" w:eastAsiaTheme="majorEastAsia" w:hAnsiTheme="majorHAnsi"/>
      <w:color w:val="333f4f" w:themeColor="text2" w:themeShade="bf"/>
      <w:spacing w:val="5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 w:val="on"/>
    <w:pPr/>
    <w:rPr>
      <w:rFonts w:asciiTheme="majorHAnsi" w:cstheme="majorBidi" w:eastAsiaTheme="majorEastAsia" w:hAnsiTheme="majorHAnsi"/>
      <w:i/>
      <w:iCs/>
      <w:color w:val="4472c4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Pr>
      <w:rFonts w:asciiTheme="majorHAnsi" w:cstheme="majorBidi" w:eastAsiaTheme="majorEastAsia" w:hAnsiTheme="majorHAnsi"/>
      <w:i/>
      <w:iCs/>
      <w:color w:val="4472c4" w:themeColor="accent1"/>
      <w:spacing w:val="15"/>
      <w:sz w:val="24"/>
      <w:szCs w:val="24"/>
    </w:rPr>
  </w:style>
  <w:style w:type="character" w:styleId="SubtleEmphasis">
    <w:name w:val="Subtle Emphasis"/>
    <w:basedOn w:val="DefaultParagraphFont"/>
    <w:uiPriority w:val="19"/>
    <w:qFormat w:val="on"/>
    <w:rPr>
      <w:i/>
      <w:iCs/>
      <w:color w:val="808080" w:themeColor="text1" w:themeTint="7f"/>
    </w:rPr>
  </w:style>
  <w:style w:type="character" w:styleId="Emphasis">
    <w:name w:val="Emphasis"/>
    <w:basedOn w:val="DefaultParagraphFont"/>
    <w:uiPriority w:val="20"/>
    <w:qFormat w:val="on"/>
    <w:rPr>
      <w:i/>
      <w:iCs/>
    </w:rPr>
  </w:style>
  <w:style w:type="character" w:styleId="IntenseEmphasis">
    <w:name w:val="Intense Emphasis"/>
    <w:basedOn w:val="DefaultParagraphFont"/>
    <w:uiPriority w:val="21"/>
    <w:qFormat w:val="on"/>
    <w:rPr>
      <w:b/>
      <w:bCs/>
      <w:i/>
      <w:iCs/>
      <w:color w:val="4472c4" w:themeColor="accent1"/>
    </w:rPr>
  </w:style>
  <w:style w:type="character" w:styleId="Strong">
    <w:name w:val="Strong"/>
    <w:basedOn w:val="DefaultParagraphFont"/>
    <w:uiPriority w:val="22"/>
    <w:qFormat w:val="on"/>
    <w:rPr>
      <w:b/>
      <w:bCs/>
    </w:rPr>
  </w:style>
  <w:style w:type="paragraph" w:styleId="Quote">
    <w:name w:val="Quote"/>
    <w:basedOn w:val="Normal"/>
    <w:next w:val="Normal"/>
    <w:link w:val="QuoteChar"/>
    <w:uiPriority w:val="29"/>
    <w:qFormat w:val="on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Pr>
      <w:i/>
      <w:iCs/>
      <w:color w:val="000000" w:themeColor="text1"/>
    </w:rPr>
  </w:style>
  <w:style w:type="paragraph" w:styleId="IntenseQuote">
    <w:name w:val="Intense Quote"/>
    <w:basedOn w:val="Normal"/>
    <w:next w:val="Normal"/>
    <w:link w:val="IntenseQuoteChar"/>
    <w:uiPriority w:val="30"/>
    <w:qFormat w:val="on"/>
    <w:pPr>
      <w:pBdr>
        <w:bottom w:val="single" w:color="4472c4" w:themeColor="accent1" w:sz="4" w:space="4"/>
      </w:pBdr>
      <w:spacing w:before="200" w:after="280"/>
      <w:ind w:left="936" w:right="936"/>
    </w:pPr>
    <w:rPr>
      <w:b/>
      <w:bCs/>
      <w:i/>
      <w:iCs/>
      <w:color w:val="4472c4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Pr>
      <w:b/>
      <w:bCs/>
      <w:i/>
      <w:iCs/>
      <w:color w:val="4472c4" w:themeColor="accent1"/>
    </w:rPr>
  </w:style>
  <w:style w:type="character" w:styleId="SubtleReference">
    <w:name w:val="Subtle Reference"/>
    <w:basedOn w:val="DefaultParagraphFont"/>
    <w:uiPriority w:val="31"/>
    <w:qFormat w:val="on"/>
    <w:rPr>
      <w:smallCaps/>
      <w:color w:val="ed7d31" w:themeColor="accent2"/>
      <w:u w:val="single"/>
    </w:rPr>
  </w:style>
  <w:style w:type="character" w:styleId="IntenseReference">
    <w:name w:val="Intense Reference"/>
    <w:basedOn w:val="DefaultParagraphFont"/>
    <w:uiPriority w:val="32"/>
    <w:qFormat w:val="on"/>
    <w:rPr>
      <w:b/>
      <w:bCs/>
      <w:smallCaps/>
      <w:color w:val="ed7d31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 w:val="on"/>
    <w:rPr>
      <w:b/>
      <w:bCs/>
      <w:smallCaps/>
      <w:spacing w:val="5"/>
    </w:rPr>
  </w:style>
  <w:style w:type="paragraph" w:styleId="ListParagraph">
    <w:name w:val="List Paragraph"/>
    <w:basedOn w:val="Normal"/>
    <w:uiPriority w:val="34"/>
    <w:qFormat w:val="on"/>
    <w:pPr>
      <w:ind w:left="720"/>
      <w:contextualSpacing w:val="on"/>
    </w:pPr>
  </w:style>
  <w:style w:type="paragraph" w:styleId="Footnotetext">
    <w:name w:val="Footnote text"/>
    <w:basedOn w:val="Normal"/>
    <w:link w:val="FootnoteTextChar"/>
    <w:uiPriority w:val="99"/>
    <w:semiHidden w:val="on"/>
    <w:unhideWhenUsed w:val="on"/>
    <w:pPr>
      <w:spacing w:after="0" w:line="240" w:lineRule="auto"/>
    </w:pPr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 w:val="on"/>
    <w:rPr>
      <w:sz w:val="20"/>
      <w:szCs w:val="20"/>
    </w:rPr>
  </w:style>
  <w:style w:type="character" w:styleId="Footnotereference">
    <w:name w:val="Footnote reference"/>
    <w:basedOn w:val="DefaultParagraphFont"/>
    <w:uiPriority w:val="99"/>
    <w:semiHidden w:val="on"/>
    <w:unhideWhenUsed w:val="on"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 w:val="on"/>
    <w:unhideWhenUsed w:val="on"/>
    <w:pPr>
      <w:spacing w:after="0" w:line="240" w:lineRule="auto"/>
    </w:pPr>
    <w:rPr>
      <w:sz w:val="20"/>
      <w:szCs w:val="20"/>
    </w:rPr>
  </w:style>
  <w:style w:type="character" w:customStyle="1" w:styleId="EndnoteTextChar">
    <w:name w:val="Endnote Text Char"/>
    <w:basedOn w:val="DefaultParagraphFont"/>
    <w:link w:val="Endnotetext"/>
    <w:uiPriority w:val="99"/>
    <w:semiHidden w:val="on"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 w:val="on"/>
    <w:unhideWhenUsed w:val="on"/>
    <w:rPr>
      <w:vertAlign w:val="superscript"/>
    </w:rPr>
  </w:style>
  <w:style w:type="character" w:styleId="Hyperlink">
    <w:name w:val="Hyperlink"/>
    <w:basedOn w:val="DefaultParagraphFont"/>
    <w:uiPriority w:val="99"/>
    <w:unhideWhenUsed w:val="on"/>
    <w:rPr>
      <w:color w:val="0563c1" w:themeColor="hyperlink"/>
      <w:u w:val="single"/>
    </w:rPr>
  </w:style>
  <w:style w:type="paragraph" w:styleId="PlainText">
    <w:name w:val="Plain Text"/>
    <w:basedOn w:val="Normal"/>
    <w:link w:val="PlainTextChar"/>
    <w:uiPriority w:val="99"/>
    <w:semiHidden w:val="on"/>
    <w:unhideWhenUsed w:val="on"/>
    <w:pPr>
      <w:spacing w:after="0" w:line="240" w:lineRule="auto"/>
    </w:pPr>
    <w:rPr>
      <w:rFonts w:ascii="Courier New" w:cs="Courier New" w:hAnsi="Courier New"/>
      <w:sz w:val="21"/>
      <w:szCs w:val="21"/>
    </w:rPr>
  </w:style>
  <w:style w:type="character" w:customStyle="1" w:styleId="PlainTextChar">
    <w:name w:val="Plain Text Char"/>
    <w:basedOn w:val="DefaultParagraphFont"/>
    <w:link w:val="PlainText"/>
    <w:uiPriority w:val="99"/>
    <w:rPr>
      <w:rFonts w:ascii="Courier New" w:cs="Courier New" w:hAnsi="Courier New"/>
      <w:sz w:val="21"/>
      <w:szCs w:val="21"/>
    </w:rPr>
  </w:style>
  <w:style w:type="paragraph" w:styleId="Header">
    <w:name w:val="Header"/>
    <w:basedOn w:val="Normal"/>
    <w:link w:val="HeaderChar"/>
    <w:uiPriority w:val="99"/>
    <w:unhideWhenUsed w:val="on"/>
    <w:pPr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</w:style>
  <w:style w:type="paragraph" w:styleId="Footer">
    <w:name w:val="Footer"/>
    <w:basedOn w:val="Normal"/>
    <w:link w:val="FooterChar"/>
    <w:uiPriority w:val="99"/>
    <w:unhideWhenUsed w:val="on"/>
    <w:pPr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</w:style>
  <w:style w:type="paragraph" w:styleId="Caption">
    <w:name w:val="Caption"/>
    <w:basedOn w:val="Normal"/>
    <w:next w:val="Normal"/>
    <w:uiPriority w:val="35"/>
    <w:unhideWhenUsed w:val="on"/>
    <w:qFormat w:val="on"/>
    <w:pPr>
      <w:spacing w:after="200" w:line="240" w:lineRule="auto"/>
    </w:pPr>
    <w:rPr>
      <w:i/>
      <w:iCs/>
      <w:color w:val="44546a" w:themeColor="text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fontTable" Target="fontTable.xml"/><Relationship Id="rId20" Type="http://schemas.openxmlformats.org/officeDocument/2006/relationships/numbering" Target="numbering.xml"/><Relationship Id="rId3" Type="http://schemas.openxmlformats.org/officeDocument/2006/relationships/styles" Target="styles.xml"/><Relationship Id="rId34" Type="http://schemas.openxmlformats.org/officeDocument/2006/relationships/image" Target="media/image1.png"/><Relationship Id="rId35" Type="http://schemas.openxmlformats.org/officeDocument/2006/relationships/image" Target="media/image1.png"/><Relationship Id="rId36" Type="http://schemas.openxmlformats.org/officeDocument/2006/relationships/image" Target="media/image1.png"/><Relationship Id="rId37" Type="http://schemas.openxmlformats.org/officeDocument/2006/relationships/image" Target="media/image1.png"/><Relationship Id="rId38" Type="http://schemas.openxmlformats.org/officeDocument/2006/relationships/image" Target="media/image1.png"/><Relationship Id="rId39" Type="http://schemas.openxmlformats.org/officeDocument/2006/relationships/image" Target="media/image1.png"/><Relationship Id="rId4" Type="http://schemas.openxmlformats.org/officeDocument/2006/relationships/settings" Target="settings.xml"/><Relationship Id="rId40" Type="http://schemas.openxmlformats.org/officeDocument/2006/relationships/image" Target="media/image2.png"/><Relationship Id="rId41" Type="http://schemas.openxmlformats.org/officeDocument/2006/relationships/image" Target="media/image3.png"/><Relationship Id="rId5" Type="http://schemas.openxmlformats.org/officeDocument/2006/relationships/image" Target="media/image1.png"/><Relationship Id="rId6" Type="http://schemas.openxmlformats.org/officeDocument/2006/relationships/image" Target="media/image1.png"/><Relationship Id="rId7" Type="http://schemas.openxmlformats.org/officeDocument/2006/relationships/image" Target="media/image1.png"/><Relationship Id="rId8" Type="http://schemas.openxmlformats.org/officeDocument/2006/relationships/image" Target="media/image1.png"/><Relationship Id="rId9" Type="http://schemas.openxmlformats.org/officeDocument/2006/relationships/image" Target="media/image1.png"/><Relationship Id="rId10" Type="http://schemas.openxmlformats.org/officeDocument/2006/relationships/image" Target="media/image1.png"/><Relationship Id="rId11" Type="http://schemas.openxmlformats.org/officeDocument/2006/relationships/image" Target="media/image1.png"/><Relationship Id="rId12" Type="http://schemas.openxmlformats.org/officeDocument/2006/relationships/image" Target="media/image1.png"/><Relationship Id="rId13" Type="http://schemas.openxmlformats.org/officeDocument/2006/relationships/image" Target="media/image1.png"/><Relationship Id="rId14" Type="http://schemas.openxmlformats.org/officeDocument/2006/relationships/image" Target="media/image1.png"/><Relationship Id="rId15" Type="http://schemas.openxmlformats.org/officeDocument/2006/relationships/image" Target="media/image2.png"/><Relationship Id="rId16" Type="http://schemas.openxmlformats.org/officeDocument/2006/relationships/image" Target="media/image3.png"/><Relationship Id="rId17" Type="http://schemas.openxmlformats.org/officeDocument/2006/relationships/image" Target="media/image1.png"/><Relationship Id="rId18" Type="http://schemas.openxmlformats.org/officeDocument/2006/relationships/image" Target="media/image2.png"/><Relationship Id="rId19" Type="http://schemas.openxmlformats.org/officeDocument/2006/relationships/image" Target="media/image3.png"/><Relationship Id="rId21" Type="http://schemas.openxmlformats.org/officeDocument/2006/relationships/image" Target="media/image1.png"/><Relationship Id="rId22" Type="http://schemas.openxmlformats.org/officeDocument/2006/relationships/image" Target="media/image1.png"/><Relationship Id="rId23" Type="http://schemas.openxmlformats.org/officeDocument/2006/relationships/image" Target="media/image1.png"/><Relationship Id="rId24" Type="http://schemas.openxmlformats.org/officeDocument/2006/relationships/image" Target="media/image1.png"/><Relationship Id="rId25" Type="http://schemas.openxmlformats.org/officeDocument/2006/relationships/image" Target="media/image1.png"/><Relationship Id="rId26" Type="http://schemas.openxmlformats.org/officeDocument/2006/relationships/image" Target="media/image2.png"/><Relationship Id="rId27" Type="http://schemas.openxmlformats.org/officeDocument/2006/relationships/image" Target="media/image3.png"/><Relationship Id="rId28" Type="http://schemas.openxmlformats.org/officeDocument/2006/relationships/image" Target="media/image1.png"/><Relationship Id="rId29" Type="http://schemas.openxmlformats.org/officeDocument/2006/relationships/image" Target="media/image1.png"/><Relationship Id="rId30" Type="http://schemas.openxmlformats.org/officeDocument/2006/relationships/image" Target="media/image1.png"/><Relationship Id="rId31" Type="http://schemas.openxmlformats.org/officeDocument/2006/relationships/image" Target="media/image1.png"/><Relationship Id="rId32" Type="http://schemas.openxmlformats.org/officeDocument/2006/relationships/image" Target="media/image1.png"/><Relationship Id="rId33" Type="http://schemas.openxmlformats.org/officeDocument/2006/relationships/image" Target="media/image1.png"/></Relationships>
</file>

<file path=word/_rels/numbering.xml.rels><?xml version="1.0" encoding="UTF-8" standalone="yes"?>
<Relationships xmlns="http://schemas.openxmlformats.org/package/2006/relationships"></Relationships>
</file>

<file path=word/theme/theme1.xml><?xml version="1.0" encoding="utf-8"?>
<a:theme xmlns:a="http://schemas.openxmlformats.org/drawingml/2006/main" name="По умолчанию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Arab" typeface="Times New Roman"/>
        <a:font script="Armn" typeface="Arial"/>
        <a:font script="Beng" typeface="Vrinda"/>
        <a:font script="Bopo" typeface="Microsoft JhengHei"/>
        <a:font script="Cher" typeface="Plantagenet Cherokee"/>
        <a:font script="Deva" typeface="Mangal"/>
        <a:font script="Ethi" typeface="Nyala"/>
        <a:font script="Geor" typeface="Sylfaen"/>
        <a:font script="Gujr" typeface="Shruti"/>
        <a:font script="Guru" typeface="Raavi"/>
        <a:font script="Hang" typeface="맑은 고딕"/>
        <a:font script="Hebr" typeface="Times New Roman"/>
        <a:font script="Knda" typeface="Tunga"/>
        <a:font script="Khmr" typeface="MoolBoran"/>
        <a:font script="Laoo" typeface="DokChampa"/>
        <a:font script="Mlym" typeface="Kartika"/>
        <a:font script="Mong" typeface="Mongolian Baiti"/>
        <a:font script="Mymr" typeface="Myanmar Text"/>
        <a:font script="Orya" typeface="Kalinga"/>
        <a:font script="Sinh" typeface="Iskoola Pota"/>
        <a:font script="Syrc" typeface="Estrangelo Edessa"/>
        <a:font script="Taml" typeface="Latha"/>
        <a:font script="Telu" typeface="Gautami"/>
        <a:font script="Thaa" typeface="MV Boli"/>
        <a:font script="Thai" typeface="Angsana New"/>
        <a:font script="Tibt" typeface="Microsoft Himalaya"/>
        <a:font script="Cans" typeface="Euphemia"/>
        <a:font script="Yiii" typeface="Microsoft Yi Baiti"/>
        <a:font script="Osma" typeface="Ebrima"/>
        <a:font script="Tale" typeface="Microsoft Tai Le"/>
        <a:font script="Bugi" typeface="Leelawadee UI"/>
        <a:font script="Talu" typeface="Microsoft New Tai Lue"/>
        <a:font script="Tfng" typeface="Ebrima"/>
        <a:font script="Hans" typeface="等线 Light"/>
        <a:font script="Hant" typeface="新細明體"/>
        <a:font script="Java" typeface="Javanese Text"/>
        <a:font script="Nkoo" typeface="Ebrima"/>
        <a:font script="Phag" typeface="Phagspa"/>
        <a:font script="Syre" typeface="Estrangelo Edessa"/>
        <a:font script="Syrj" typeface="Estrangelo Edessa"/>
        <a:font script="Syrn" typeface="Estrangelo Edessa"/>
        <a:font script="Jpan" typeface="游ゴシック Light"/>
        <a:font script="Olck" typeface="Nirmala UI"/>
        <a:font script="Lisu" typeface="Segoe UI"/>
        <a:font script="Sora" typeface="Nirmala UI"/>
      </a:majorFont>
      <a:minorFont>
        <a:latin typeface="Calibri" panose="020F0502020204030204"/>
        <a:ea typeface=""/>
        <a:cs typeface=""/>
        <a:font script="Arab" typeface="Arial"/>
        <a:font script="Armn" typeface="Arial"/>
        <a:font script="Beng" typeface="Vrinda"/>
        <a:font script="Bopo" typeface="Microsoft JhengHei"/>
        <a:font script="Cher" typeface="Plantagenet Cherokee"/>
        <a:font script="Deva" typeface="Mangal"/>
        <a:font script="Ethi" typeface="Nyala"/>
        <a:font script="Geor" typeface="Sylfaen"/>
        <a:font script="Gujr" typeface="Shruti"/>
        <a:font script="Guru" typeface="Raavi"/>
        <a:font script="Hang" typeface="맑은 고딕"/>
        <a:font script="Hebr" typeface="Arial"/>
        <a:font script="Knda" typeface="Tunga"/>
        <a:font script="Khmr" typeface="DaunPenh"/>
        <a:font script="Laoo" typeface="DokChampa"/>
        <a:font script="Mlym" typeface="Kartika"/>
        <a:font script="Mong" typeface="Mongolian Baiti"/>
        <a:font script="Mymr" typeface="Myanmar Text"/>
        <a:font script="Orya" typeface="Kalinga"/>
        <a:font script="Sinh" typeface="Iskoola Pota"/>
        <a:font script="Syrc" typeface="Estrangelo Edessa"/>
        <a:font script="Taml" typeface="Latha"/>
        <a:font script="Telu" typeface="Gautami"/>
        <a:font script="Thaa" typeface="MV Boli"/>
        <a:font script="Thai" typeface="Cordia New"/>
        <a:font script="Tibt" typeface="Microsoft Himalaya"/>
        <a:font script="Cans" typeface="Euphemia"/>
        <a:font script="Yiii" typeface="Microsoft Yi Baiti"/>
        <a:font script="Osma" typeface="Ebrima"/>
        <a:font script="Tale" typeface="Microsoft Tai Le"/>
        <a:font script="Bugi" typeface="Leelawadee UI"/>
        <a:font script="Talu" typeface="Microsoft New Tai Lue"/>
        <a:font script="Tfng" typeface="Ebrima"/>
        <a:font script="Hans" typeface="等线"/>
        <a:font script="Hant" typeface="新細明體"/>
        <a:font script="Java" typeface="Javanese Text"/>
        <a:font script="Nkoo" typeface="Ebrima"/>
        <a:font script="Phag" typeface="Phagspa"/>
        <a:font script="Syre" typeface="Estrangelo Edessa"/>
        <a:font script="Syrj" typeface="Estrangelo Edessa"/>
        <a:font script="Syrn" typeface="Estrangelo Edessa"/>
        <a:font script="Jpan" typeface="游ゴシック"/>
        <a:font script="Olck" typeface="Nirmala UI"/>
        <a:font script="Lisu" typeface="Segoe UI"/>
        <a:font script="Sora" typeface="Nirmala UI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Application>Microsoft Office Word</Application>
  <AppVersion>14.000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Керанхан</dc:creator>
  <cp:lastModifiedBy>Керанхан</cp:lastModifiedBy>
</cp:coreProperties>
</file>