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Утверждаю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Глава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 А.В. Куприенко</w:t>
      </w:r>
    </w:p>
    <w:p>
      <w:pPr>
        <w:rPr/>
      </w:pPr>
    </w:p>
    <w:p>
      <w:pPr>
        <w:rPr/>
      </w:pPr>
      <w:r>
        <w:rPr>
          <w:lang w:val="en-US"/>
        </w:rPr>
        <w:t>График общественного обсуждения муниципальной программы «Формирования современной городской среды на территории Мирненского сельского поселения на 2018-2022 годы», в рамках реализации приоритетного проекта «Формирование комфортной городской среды»</w:t>
      </w:r>
    </w:p>
    <w:p>
      <w:r>
        <w:rPr/>
        <w:drawing xmlns:mc="http://schemas.openxmlformats.org/markup-compatibility/2006">
          <wp:inline>
            <wp:extent cx="5731510" cy="21196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