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25.12.2020 № 25-93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 соответствии со статьей 13, 40 Земельного кодекса Российской Федерации, статьей 61 Федерального закона от 10.01.2002 № 7-ФЗ </w:t>
      </w:r>
      <w:r>
        <w:rPr>
          <w:rFonts w:ascii="helvetica"/>
          <w:b/>
          <w:color w:val="000000"/>
          <w:sz w:val="24"/>
          <w:rtl w:val="off"/>
          <w:lang w:val="en-US"/>
        </w:rPr>
        <w:t>«</w:t>
      </w:r>
      <w:r>
        <w:rPr>
          <w:rFonts w:ascii="helvetica"/>
          <w:color w:val="000000"/>
          <w:sz w:val="24"/>
          <w:rtl w:val="off"/>
          <w:lang w:val="en-US"/>
        </w:rPr>
        <w:t>Об охране окружающей среды», на основании протеста прокурора Хабаровского района от 30.11.2020 года № 2-38-2020,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РЕШИЛ: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Правила благоустройства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Хабаровского края от 22.05.2020 № 19-66,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Пункт 4.12.1.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«4.12.1. Посадка или пересадка деревьев и кустарников на землях, отнесенных к зеленому фонду и (или) находящихся в муниципальной собственности, без соответствующей разрешительной документации органа местного самоуправления, не допускается.»;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Пункт 4.12.2.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«4.12.1. Вырубка деревьев и кустарников, в том числе сухостойных и больных, на землях, отнесенных к земельному фонду и (или) находящихся в муниципальной собственности, производится только на основании разрешения, выдаваемого в установленном порядке. Разрешение на производство вырубки деревьев и кустарников в поселении выдается администрацией поселения.»;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Подпункт «а)» пункта 4.12.3.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1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«а) защитить сельскохозяйственные угодья от зарастания деревьями и кустарниками, сорными растениями, сохранять мелиоративные защитные лесные насаждения, сохранять достигнутый уровень мелиорации;»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 района Хабаровского края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 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