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helvetica"/>
          <w:b/>
          <w:color w:val="000000"/>
          <w:sz w:val="20"/>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helvetica"/>
          <w:b/>
          <w:color w:val="000000"/>
          <w:sz w:val="20"/>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helvetica"/>
          <w:b/>
          <w:color w:val="000000"/>
          <w:sz w:val="20"/>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helvetica"/>
          <w:b/>
          <w:color w:val="000000"/>
          <w:sz w:val="20"/>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helvetica"/>
          <w:b/>
          <w:color w:val="000000"/>
          <w:sz w:val="20"/>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helvetica"/>
          <w:b/>
          <w:color w:val="000000"/>
          <w:sz w:val="20"/>
          <w:rtl w:val="off"/>
          <w:lang w:val="en-US"/>
        </w:rPr>
        <w:t>22.12.2021 № 41-129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helvetica"/>
          <w:b/>
          <w:color w:val="000000"/>
          <w:sz w:val="20"/>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helvetica"/>
          <w:b/>
          <w:color w:val="000000"/>
          <w:sz w:val="20"/>
          <w:rtl w:val="off"/>
          <w:lang w:val="en-US"/>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 соответствии с федеральными законами от 06.10.2003 № 131-ФЗ «Об общих принципах организации местного самоуправления в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 259-ФЗ «Устав автомобильного транспорта и городского наземного электрического транспорта», от 31.07.2020 248-ФЗ «О государственном контроле (надзоре) и муниципальном контроле в Российской Федерации»,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Мирненского сельского поселения Хабаровского муниципального района Хабаровского края (далее – 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2.Контроль за выполнением настоящего решения возложить на главу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Настоящее решение вступает в силу после его официального опубликования (обнародования), но не раннее 01.01.2022, за исключением положений раздела 6 Положения. Раздел 6 Положения вступает в силу с 01.03.2022.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Председатель Совета депутатов 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left"/>
        <w:rPr>
          <w:rFonts w:ascii="helvetica"/>
          <w:color w:val="000000"/>
          <w:sz w:val="20"/>
          <w:lang w:val="en-US"/>
        </w:rPr>
      </w:pPr>
      <w:r>
        <w:rPr>
          <w:rFonts w:ascii="helvetica"/>
          <w:color w:val="000000"/>
          <w:sz w:val="20"/>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left"/>
        <w:rPr>
          <w:rFonts w:ascii="helvetica"/>
          <w:color w:val="000000"/>
          <w:sz w:val="20"/>
          <w:lang w:val="en-US"/>
        </w:rPr>
      </w:pPr>
      <w:r>
        <w:rPr>
          <w:rFonts w:ascii="helvetica"/>
          <w:color w:val="000000"/>
          <w:sz w:val="20"/>
          <w:rtl w:val="off"/>
          <w:lang w:val="en-US"/>
        </w:rPr>
        <w:t>решением Совета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left"/>
        <w:rPr>
          <w:rFonts w:ascii="helvetica"/>
          <w:color w:val="000000"/>
          <w:sz w:val="20"/>
          <w:lang w:val="en-US"/>
        </w:rPr>
      </w:pPr>
      <w:r>
        <w:rPr>
          <w:rFonts w:ascii="helvetica"/>
          <w:color w:val="000000"/>
          <w:sz w:val="20"/>
          <w:rtl w:val="off"/>
          <w:lang w:val="en-US"/>
        </w:rPr>
        <w:t>от 22.12.2021 № 41-_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 xml:space="preserve">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 Настоящее Положение устанавливает порядок организации и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Мирненского сельского поселения Хабаровского муниципального района Хабаровского края (далее – муниципальный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1.2. Предметом муниципального контроля является соблюдение юридическими лицами, индивидуальными предпринимателями и физическими лицами (далее – контролируемые лица)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75"/>
        <w:jc w:val="both"/>
        <w:rPr>
          <w:rFonts w:ascii="helvetica"/>
          <w:color w:val="000000"/>
          <w:sz w:val="20"/>
          <w:lang w:val="en-US"/>
        </w:rPr>
      </w:pPr>
      <w:r>
        <w:rPr>
          <w:rFonts w:ascii="helvetica"/>
          <w:color w:val="000000"/>
          <w:sz w:val="20"/>
          <w:rtl w:val="off"/>
          <w:lang w:val="en-US"/>
        </w:rPr>
        <w:t>1) в области автомобильной и дорожной деятельности, установленных в отношении автомобильных дорог местного значения в границах населенных пунктов Мирненского сельского поселения Хабаровского муниципального района Хабаровского края (далее – сельское поселение):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75"/>
        <w:jc w:val="both"/>
        <w:rPr>
          <w:rFonts w:ascii="helvetica"/>
          <w:color w:val="000000"/>
          <w:sz w:val="20"/>
          <w:lang w:val="en-US"/>
        </w:rPr>
      </w:pPr>
      <w:r>
        <w:rPr>
          <w:rFonts w:ascii="helvetica"/>
          <w:color w:val="000000"/>
          <w:sz w:val="20"/>
          <w:rtl w:val="off"/>
          <w:lang w:val="en-US"/>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75"/>
        <w:jc w:val="both"/>
        <w:rPr>
          <w:rFonts w:ascii="helvetica"/>
          <w:color w:val="000000"/>
          <w:sz w:val="20"/>
          <w:lang w:val="en-US"/>
        </w:rPr>
      </w:pPr>
      <w:r>
        <w:rPr>
          <w:rFonts w:ascii="helvetica"/>
          <w:color w:val="000000"/>
          <w:sz w:val="20"/>
          <w:rtl w:val="off"/>
          <w:lang w:val="en-US"/>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helvetica"/>
          <w:color w:val="000000"/>
          <w:sz w:val="20"/>
          <w:lang w:val="en-US"/>
        </w:rPr>
      </w:pPr>
      <w:r>
        <w:rPr>
          <w:rFonts w:ascii="helvetica"/>
          <w:color w:val="000000"/>
          <w:sz w:val="20"/>
          <w:rtl w:val="off"/>
          <w:lang w:val="en-US"/>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Предметом муниципального контроля является также исполнение решений, принимаемых по результатам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1.3. Объектами муниципального контроля (далее – объект контроля)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1.3.1. Деятельность, действия (бездействие) контролируемых лиц на автомобильном транспорте, городском наземном электрическом транспорте и в дорожном хозяйстве,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1.3.2. Результаты деятельности контролируемых лиц, в том числе работы и услуги, к которым предъявляются обязательные требования;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1.3.3. Здания, строения, сооружения, территории, включая земельные участки, предметы и другие объекты, которыми контролируемые лица владеют и (или) пользуются и к которым предъявляются обязательные требования.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1.4. В соответствии с частью 2 статьи 16 и частью 5 статьи 17 Федерального закона от 31.07.2020 г. № 248-ФЗ «О государственном контроле (надзоре) и муниципальном контроле в Российской Федерации» (далее – Закон № 248-ФЗ) контрольным органом ведется учет объектов контроля с использованием информационной системы.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1.5. Муниципальный контроль осуществляется администрацией Мирненского сельского поселения Хабаровского муниципального района Хабаровского края в (далее – Контрольный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1.6. Руководство деятельностью по осуществлению муниципального контроля осуществляет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1.7. От имени Контрольного органа муниципальный контроль вправе осуществлять следующие должностные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1) глава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сотрудники администрации Мирненского сельского поселения, в должностные обязанности которых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 инспекторы).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Перечень должностных лиц Контрольного органа, уполномоченных на осуществление муниципального контроля, установлен приложением № 1 к настоящему Положению.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1.8. Инспектор при осуществлении муниципального контроля имеет права, обязанности, ограничения, запреты и несет ответственность в соответствии с Законом № 248-ФЗ и иными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1.9. Информирование контролируемых лиц о совершаемых уполномоченными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158" w:right="0" w:firstLine="0"/>
        <w:jc w:val="left"/>
        <w:rPr>
          <w:rFonts w:ascii="helvetica"/>
          <w:color w:val="000000"/>
          <w:sz w:val="20"/>
          <w:lang w:val="en-US"/>
        </w:rPr>
      </w:pPr>
      <w:r>
        <w:rPr>
          <w:rFonts w:ascii="helvetica"/>
          <w:color w:val="000000"/>
          <w:sz w:val="20"/>
          <w:rtl w:val="off"/>
          <w:lang w:val="en-US"/>
        </w:rPr>
        <w:t>2. Категории риска причинения вреда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значительный риск;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средний риск;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умеренный риск;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 низкий риск.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2.3. Критерии отнесения объектов контроля к категориям риска в рамках осуществления муниципального контроля установлены приложением № 2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2.5. В случае если объект контроля не отнесен к определенной категории риска, он считается отнесенным к категории низкого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2.6. Контрольный орган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 xml:space="preserve">3. Виды профилактических мероприятий, которые проводятся при осуществлении муниципального контроля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При осуществлении муниципального контроля Контрольный орган проводит следующие виды профилактических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информирование;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обобщение правоприменительной практики;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объявление предостережения;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 консультирование;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 профилактический визит.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Закона № 248-ФЗ, на своем официальном сайте в сети «Интернет» </w:t>
      </w:r>
      <w:r>
        <w:fldChar w:fldCharType="begin"/>
      </w:r>
      <w:r>
        <w:instrText xml:space="preserve"> HYPERLINK "https://mirnoeadm.ru/" </w:instrText>
      </w:r>
      <w:r>
        <w:fldChar w:fldCharType="separate"/>
      </w:r>
      <w:r>
        <w:rPr>
          <w:rFonts w:ascii="helvetica"/>
          <w:color w:val="6d6d6d"/>
          <w:sz w:val="20"/>
          <w:u w:val="single"/>
          <w:rtl w:val="off"/>
          <w:lang w:val="en-US"/>
        </w:rPr>
        <w:t>https://mirnoeadm.ru</w:t>
      </w:r>
      <w:r>
        <w:fldChar w:fldCharType="end"/>
      </w:r>
      <w:r>
        <w:rPr>
          <w:rFonts w:ascii="helvetica"/>
          <w:color w:val="000000"/>
          <w:sz w:val="20"/>
          <w:rtl w:val="off"/>
          <w:lang w:val="en-US"/>
        </w:rPr>
        <w:t xml:space="preserve">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3.1.2. Обобщение правоприменительной практики организации и проведения муниципального контроля осуществляется ежегодно.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Контрольный орган обеспечивает публичное обсуждение проекта доклада.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Доклад утверждается постановлением главы сельского поселения и размещается на официальном сайте ежегодно не позднее 30 января года, следующего за годом обобщения правоприменительной практики.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3.2. Предостережение о недопустимости нарушения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3.2.3. Контролируемое лицо в течение 10 рабочих дней со дня получения предостережения вправе подать в Контрольный орган возражение в отношении предостережения.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3.2.4. Возражение должно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наименование Контрольного органа, в который направляется возражение;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дату и номер предостережения;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 доводы, на основании которых контролируемое лицо не согласно с объявленным предостережением;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 дату получения предостережения контролируемым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6) личную подпись и дату.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3.2.6. Контрольный орган рассматривает возражение в отношении предостережения в течение 15 рабочих дней со дня его получения.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3.2.7. По результатам рассмотрения возражения Контрольный орган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удовлетворяет возражение в форме отмены предостережения;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отказывает в удовлетворении возражения с указанием причины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3.2.8. Контрольный орган информирует контролируемое лицо о результатах рассмотрения возражения не позднее 5 рабочих дней со дня рассмотрения возражения в отношении предостережения.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3.2.9. Повторное направление возражения по тем же основаниям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3.3. Консультирование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33" w:right="0" w:firstLine="0"/>
        <w:jc w:val="both"/>
        <w:rPr>
          <w:rFonts w:ascii="helvetica"/>
          <w:color w:val="000000"/>
          <w:sz w:val="20"/>
          <w:lang w:val="en-US"/>
        </w:rPr>
      </w:pPr>
      <w:r>
        <w:rPr>
          <w:rFonts w:ascii="helvetica"/>
          <w:color w:val="000000"/>
          <w:sz w:val="20"/>
          <w:rtl w:val="off"/>
          <w:lang w:val="en-US"/>
        </w:rPr>
        <w:t>1) порядка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33" w:right="0" w:firstLine="0"/>
        <w:jc w:val="both"/>
        <w:rPr>
          <w:rFonts w:ascii="helvetica"/>
          <w:color w:val="000000"/>
          <w:sz w:val="20"/>
          <w:lang w:val="en-US"/>
        </w:rPr>
      </w:pPr>
      <w:r>
        <w:rPr>
          <w:rFonts w:ascii="helvetica"/>
          <w:color w:val="000000"/>
          <w:sz w:val="20"/>
          <w:rtl w:val="off"/>
          <w:lang w:val="en-US"/>
        </w:rPr>
        <w:t>2) периодичности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33" w:right="0" w:firstLine="0"/>
        <w:jc w:val="both"/>
        <w:rPr>
          <w:rFonts w:ascii="helvetica"/>
          <w:color w:val="000000"/>
          <w:sz w:val="20"/>
          <w:lang w:val="en-US"/>
        </w:rPr>
      </w:pPr>
      <w:r>
        <w:rPr>
          <w:rFonts w:ascii="helvetica"/>
          <w:color w:val="000000"/>
          <w:sz w:val="20"/>
          <w:rtl w:val="off"/>
          <w:lang w:val="en-US"/>
        </w:rPr>
        <w:t>3) порядка принятия решений по итогам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33" w:right="0" w:firstLine="0"/>
        <w:jc w:val="both"/>
        <w:rPr>
          <w:rFonts w:ascii="helvetica"/>
          <w:color w:val="000000"/>
          <w:sz w:val="20"/>
          <w:lang w:val="en-US"/>
        </w:rPr>
      </w:pPr>
      <w:r>
        <w:rPr>
          <w:rFonts w:ascii="helvetica"/>
          <w:color w:val="000000"/>
          <w:sz w:val="20"/>
          <w:rtl w:val="off"/>
          <w:lang w:val="en-US"/>
        </w:rPr>
        <w:t>4) порядка обжалования решений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3.3.2. Инспекторы осуществляют консультирование контролируемых лиц и их представителей: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посредством размещения на официальном сайте письменного разъяснения по однотипным обращениям (более 3 однотипных обращений) контролируемых лиц и их представителей, подписанного уполномоченным лицом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3.3.3. Индивидуальное консультирование на личном приеме каждого заявителя инспекторами не может превышать 10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Время разговора по телефону не должно превышать 10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3.3.5. Письменное консультирование контролируемых лиц и их представителей осуществляется по следующим вопросам: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порядок обжалования решений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организация и осуществление консультирования.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3.3.6.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3.3.7. Контрольный орган осуществляет учет проведенных консультирований.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3.4. Профилактический визит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3.4.1.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Продолжительность профилактического визита составляет не более двух часов в течение рабочего дня.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3.4.2. Инспектор проводит обязательный профилактический визит в отношении: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контролируемых лиц, приступающих к осуществлению деятельности в сфере автомобильного транспорта, городского наземного электрического транспорта и в дорожном хозяйстве в границах населенных пунктов сельского поселения, не позднее чем в течение одного года с момента начала такой деятельности (при наличии сведений о начале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3.4.3. Профилактические визиты проводятся по согласованию с контролируемыми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3.4.4.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 орган не позднее, чем за три рабочих дня до даты его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 Акт оформляется непосредственно после завершения профилактического визита в двух экземплярах, один из которых вручается Контролируемому лицу.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3.4.6. Контрольный орган осуществляет учет проведенных профилактических визитов.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4. Контрольные мероприятия, проводимые в рамках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4.1. Контрольные мероприятия. Общие вопросы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4.1.1. Муниципальный контроль осуществляется Контрольным органом посредством организации проведения следующих внеплановых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 инспекционный визит;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 документарная проверка;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выездная проверка – при взаимодействии с контролируемыми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 наблюдение за соблюдением обязательных требований (мониторинг безопасности).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4.1.2. При осуществлении муниципального контроля взаимодействием с контролируемыми лицами являются: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запрос документов, иных материалов;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4.1.4. Плановые контрольные (надзорные) мероприятия при осуществлении данного муниципального контроля не проводятся.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4.1.5.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опрос;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получение письменных объяснений;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истребование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инструментальное обследование;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экспертиза.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4.1.6.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Закона              № 248-ФЗ.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4.1.7. Контрольные мероприятия проводятся инспекторами, указанными в решении Контрольного органа о проведении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4.1.8.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4.1.9. Документы, иные материалы, являющиеся доказательствами нарушения обязательных требований, приобщаются к акту.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Заполненные при проведении контрольного мероприятия проверочные листы должны быть приобщены к акту.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4.1.10.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4.1.11.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4.1.12.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4.2. Меры, принимаемые Контрольным органом по результатам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5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при выявлении признаков административного правонарушения решить вопрос об инициировании возбуждения дела об административном правонарушении в порядке, установленном Кодексом Российской Федерации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4.2.2. Предписание оформляется по форме согласно приложению № 3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 случае, если проводится оценка исполнения решения, принятого по итогам выездной проверки, допускается проведение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4.2.7.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helvetica"/>
          <w:color w:val="000000"/>
          <w:sz w:val="20"/>
          <w:lang w:val="en-US"/>
        </w:rPr>
      </w:pPr>
      <w:r>
        <w:rPr>
          <w:rFonts w:ascii="helvetica"/>
          <w:color w:val="000000"/>
          <w:sz w:val="20"/>
          <w:rtl w:val="off"/>
          <w:lang w:val="en-US"/>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4.4. Внеплановые контрольные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4.4.2. Решение о проведении внепланового контрольного мероприятия принимается с учетом индикаторов риска нарушения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4.5. Документарная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4.5.3. Срок проведения документарной проверки не может превышать десять рабочих дней.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 указанный срок не включается период с момента: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период с момента направления контролируемому лицу информации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о выявлении ошибок и (или) противоречий в представленных контролируемым лицом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4.5.4. Перечень допустимых контрольных действий, совершаемых в ходе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истребование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получение письменных объяснений;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экспертиза.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Контролируемое лицо в течение 10 рабочих дней со дня получения данного требования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4.5.6. Письменные объяснения могут быть запрошены инспектором от контролируемого лица или его представителя, свидетелей.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Указанные лица предоставляют инспектору письменные объяснения в свободной форме не позднее двух рабочих дней до даты завершения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Письменные объяснения оформляются путем составления письменного документа в свободной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4.5.7. Экспертиза осуществляется экспертом или экспертной организацией по поручению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Результаты экспертизы оформляются экспертным заключением по форме, утвержденной Контрольным органом.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4.5.8. Оформление акта производится по месту нахождения Контрольного органа в день окончания проведения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4.5.9. Акт направляется Контрольным органом контролируемому лицу в срок не позднее десяти рабочих дней после окончания документарной проверки в порядке, предусмотренном статьей 21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4.5.10. Внеплановая документарная проверка проводится без согласования с органами прокуратуры.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4.6. Выездная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Выездная проверка может проводиться с использованием средств дистанционного взаимодействия, в том числе посредством аудио- или видеосвязи.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4.6.2. Выездная проверка проводится в случае, если не представляется возможным: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4.6.6. Срок проведения выездной проверки составляет не более десяти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4.6.7. Перечень допустимых контрольных действий в ходе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досмотр;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опрос;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 истребование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 получение письменных объяснений;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6) отбор проб (образцов);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7) инструментальное обследование;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8) экспертиза.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4.6.8. Осмотр осуществляется инспектором в присутствии контролируемого лица и (или) его представителя с обязательным применением видеозаписи.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По результатам осмотра составляется протокол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4.6.9.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4.6.11. Представление контролируемым лицом истребуемых документов, письменных объяснений, проведение экспертизы осуществляется в соответствии с пунктами 4.5.5, 4.5.6 и 4.5.7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4.6.12. По окончании проведения выездной проверки инспектор составляет акт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Информация о проведении фотосъемки, аудио- и видеозаписи отражается в акте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Законом № 248-ФЗ.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временной нетрудоспособности;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необходимости явки по вызову (извещениям, повесткам) судов, правоохранительных органов, военных комиссариатов;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 нахождения в служебной командировке.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4.7. Инспекционный визит, рейдовый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Инспекционный визит проводится без предварительного уведомления контролируемого лица и собственника производственного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Контролируемые лица или их представители обязаны обеспечить беспрепятственный доступ инспектора в здания, сооружения,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4.7.2. Перечень допустимых контрольных действий в ходе инспекционного визита: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а)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б) опрос;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 получение письменных объяснений;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4.7.4.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Срок взаимодействия с одним контролируемым лицом в период проведения рейдового осмотра не может превышать один рабочий день.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4.7.5. Перечень допустимых контрольных действий в ходе рейдового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а)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б) опрос;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 получение письменных объяснений;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г) истребование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д) экспертиза.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4.7.6.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4.7.7.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4.7.8.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4.7.9. Контрольные действия, предусмотренные пунктами 4.7.2 и 4.7.5 настоящего Положения, осуществляются в соответствии с пунктами 4.5.5 - 4.5.7, 4.6.8 - 4.6.10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helvetica"/>
          <w:color w:val="000000"/>
          <w:sz w:val="20"/>
          <w:lang w:val="en-US"/>
        </w:rPr>
      </w:pPr>
      <w:r>
        <w:rPr>
          <w:rFonts w:ascii="helvetica"/>
          <w:color w:val="000000"/>
          <w:sz w:val="20"/>
          <w:rtl w:val="off"/>
          <w:lang w:val="en-US"/>
        </w:rPr>
        <w:t>4.8. Наблюдение за соблюдением обязательных требований (мониторинг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4.8.1.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решение о проведении внепланового контрольного (надзорного) мероприятия в соответствии со статьей 60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решение об объявлении предостережения;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решение о выдаче предписания об устранении выявленных нарушений в порядке, предусмотренном пунктом 1 части 2 статьи 90 Закона № 248-ФЗ, в случае указания такой возможности в федеральном законе о виде контроля, законе субъекта Российской Федерации о виде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 решение, закрепленное в федеральном законе о виде контроля, законе субъекта Российской Федерации о виде контроля в соответствии с частью 3 статьи 90 Закона № 248-ФЗ, в случае указания такой возможности в федеральном законе о виде контроля, законе субъекта Российской Федерации о виде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4.9. Выездное обследование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4.9.1. Выездное обследование проводится в целях оценки соблюдения контролируемыми лицами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4.9.3. Выездное обследование проводится без информирования контролируемого лица.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helvetica"/>
          <w:color w:val="000000"/>
          <w:sz w:val="20"/>
          <w:lang w:val="en-US"/>
        </w:rPr>
      </w:pPr>
      <w:r>
        <w:rPr>
          <w:rFonts w:ascii="helvetica"/>
          <w:color w:val="000000"/>
          <w:sz w:val="20"/>
          <w:rtl w:val="off"/>
          <w:lang w:val="en-US"/>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5. Досудебное обжалование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решений о проведении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актов контрольных мероприятий, предписаний об устранении выявленных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действий (бездействия) должностных лиц в рамках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Материалы, прикладываемые к жалобе, в том числе фото и видеоматериалы, представляются контролируемым лицом в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5.6. Контролируемое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5.7. Жалоба может содержать ходатайство о приостановлении исполнения обжалуемого решения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о приостановлении исполнения обжалуемого решения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2) об отказе в приостановлении исполнения обжалуемого решения Контрольного органа.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33" w:right="0" w:firstLine="0"/>
        <w:jc w:val="both"/>
        <w:rPr>
          <w:rFonts w:ascii="helvetica"/>
          <w:color w:val="000000"/>
          <w:sz w:val="20"/>
          <w:lang w:val="en-US"/>
        </w:rPr>
      </w:pPr>
      <w:r>
        <w:rPr>
          <w:rFonts w:ascii="helvetica"/>
          <w:color w:val="000000"/>
          <w:sz w:val="20"/>
          <w:rtl w:val="off"/>
          <w:lang w:val="en-US"/>
        </w:rPr>
        <w:t>5.9. Жалоба должна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 требования контролируемого лица, подавшего жалобу;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5.12. Контрольный орган принимает решение об отказе в рассмотрении жалобы в течение пяти рабочих дней со дня получения жалобы, если: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в удовлетворении ходатайства о восстановлении пропущенного срока на подачу жалобы отказано;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до принятия решения по жалобе от контролируемого лица, ее подавшего, поступило заявление об отзыве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 имеется решение суда по вопросам, поставленным в жалобе;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 ранее в Контрольный орган была подана другая жалоба от того же контролируемого лица по тем же основаниям;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8) жалоба подана в ненадлежащий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9) законодательством Российской Федерации предусмотрен только судебный порядок обжалования решений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5.15 Жалоба подлежит рассмотрению руководителем (заместителем руководителя) Контрольного органа в течение 20 рабочих дней со дня ее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5.16. Указанный срок может быть продлен на 20 рабочих дней, в следующих исключительных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проведение в отношении должностного лица, действия (бездействия) которого обжалуются служебной проверки по фактам, указанным в жалобе;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отсутствие должностного лица, действия (бездействия) которого обжалуются, по уважительной причине (болезнь, отпуск, командировка).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5.20. По итогам рассмотрения жалобы руководитель (заместитель руководителя) Контрольного органа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оставляет жалобу без удовлетворения;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отменяет решение Контрольного органа полностью или частично;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отменяет решение Контрольного органа полностью и принимает новое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 xml:space="preserve">6. Ключевые показатели вида контроля и их целевые значения для муниципального контроля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Ключевые показатели муниципального контроля и их целевые значения, индикативные показатели установлены приложением № 4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402"/>
        <w:jc w:val="right"/>
        <w:rPr>
          <w:rFonts w:ascii="helvetica"/>
          <w:color w:val="000000"/>
          <w:sz w:val="20"/>
          <w:lang w:val="en-US"/>
        </w:rPr>
      </w:pPr>
      <w:r>
        <w:rPr>
          <w:rFonts w:ascii="helvetica"/>
          <w:color w:val="000000"/>
          <w:sz w:val="20"/>
          <w:rtl w:val="off"/>
          <w:lang w:val="en-US"/>
        </w:rPr>
        <w:t xml:space="preserve">Приложение № 1 к Положению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Перечень должностных лиц администрации сельского поселения, уполномоченных на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20"/>
          <w:lang w:val="en-US"/>
        </w:rPr>
      </w:pPr>
      <w:r>
        <w:rPr>
          <w:rFonts w:ascii="helvetica"/>
          <w:color w:val="000000"/>
          <w:sz w:val="20"/>
          <w:rtl w:val="off"/>
          <w:lang w:val="en-US"/>
        </w:rPr>
        <w:t>1. Главный специалист;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20"/>
          <w:lang w:val="en-US"/>
        </w:rPr>
      </w:pPr>
      <w:r>
        <w:rPr>
          <w:rFonts w:ascii="helvetica"/>
          <w:color w:val="000000"/>
          <w:sz w:val="20"/>
          <w:rtl w:val="off"/>
          <w:lang w:val="en-US"/>
        </w:rPr>
        <w:t>2. Специалист 1-й категории;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20"/>
          <w:lang w:val="en-US"/>
        </w:rPr>
      </w:pPr>
      <w:r>
        <w:rPr>
          <w:rFonts w:ascii="helvetica"/>
          <w:color w:val="000000"/>
          <w:sz w:val="20"/>
          <w:rtl w:val="off"/>
          <w:lang w:val="en-US"/>
        </w:rPr>
        <w:t>3.Специалист 2-й категории.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402" w:right="0" w:firstLine="0"/>
        <w:jc w:val="right"/>
        <w:rPr>
          <w:rFonts w:ascii="helvetica"/>
          <w:color w:val="000000"/>
          <w:sz w:val="20"/>
          <w:lang w:val="en-US"/>
        </w:rPr>
      </w:pPr>
      <w:r>
        <w:rPr>
          <w:rFonts w:ascii="helvetica"/>
          <w:color w:val="000000"/>
          <w:sz w:val="20"/>
          <w:rtl w:val="off"/>
          <w:lang w:val="en-US"/>
        </w:rPr>
        <w:t xml:space="preserve">Приложение № 2 к Положению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Критерии отнесения объектов контроля к категориям риска в рамках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 xml:space="preserve">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 xml:space="preserve">Объекты муниципального контроля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Хабаровского края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Категория риска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Значительный риск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Средний риск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Умеренный риск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Низкий риск</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402" w:right="0" w:firstLine="0"/>
        <w:jc w:val="right"/>
        <w:rPr>
          <w:rFonts w:ascii="helvetica"/>
          <w:color w:val="000000"/>
          <w:sz w:val="20"/>
          <w:lang w:val="en-US"/>
        </w:rPr>
      </w:pPr>
      <w:r>
        <w:rPr>
          <w:rFonts w:ascii="helvetica"/>
          <w:color w:val="000000"/>
          <w:sz w:val="20"/>
          <w:rtl w:val="off"/>
          <w:lang w:val="en-US"/>
        </w:rPr>
        <w:t xml:space="preserve">Приложение № 3 к Положению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b/>
          <w:color w:val="000000"/>
          <w:sz w:val="20"/>
          <w:rtl w:val="off"/>
          <w:lang w:val="en-US"/>
        </w:rPr>
        <w:t>Форма предписания Контрольного органа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Бланк Контрольного органа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helvetica"/>
                <w:color w:val="000000"/>
                <w:sz w:val="20"/>
                <w:lang w:val="en-US"/>
              </w:rPr>
            </w:pPr>
            <w:r>
              <w:rPr>
                <w:rFonts w:ascii="helvetica"/>
                <w:color w:val="000000"/>
                <w:sz w:val="20"/>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helvetica"/>
                <w:color w:val="000000"/>
                <w:sz w:val="20"/>
                <w:lang w:val="en-US"/>
              </w:rPr>
            </w:pPr>
            <w:r>
              <w:rPr>
                <w:rFonts w:ascii="helvetica"/>
                <w:color w:val="000000"/>
                <w:sz w:val="20"/>
                <w:rtl w:val="off"/>
                <w:lang w:val="en-US"/>
              </w:rPr>
              <w:t>(указывается должность руководителя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helvetica"/>
                <w:color w:val="000000"/>
                <w:sz w:val="20"/>
                <w:lang w:val="en-US"/>
              </w:rPr>
            </w:pPr>
            <w:r>
              <w:rPr>
                <w:rFonts w:ascii="helvetica"/>
                <w:color w:val="000000"/>
                <w:sz w:val="20"/>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helvetica"/>
                <w:color w:val="000000"/>
                <w:sz w:val="20"/>
                <w:lang w:val="en-US"/>
              </w:rPr>
            </w:pPr>
            <w:r>
              <w:rPr>
                <w:rFonts w:ascii="helvetica"/>
                <w:color w:val="000000"/>
                <w:sz w:val="20"/>
                <w:rtl w:val="off"/>
                <w:lang w:val="en-US"/>
              </w:rPr>
              <w:t>(указывается полное наименование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helvetica"/>
                <w:color w:val="000000"/>
                <w:sz w:val="20"/>
                <w:lang w:val="en-US"/>
              </w:rPr>
            </w:pPr>
            <w:r>
              <w:rPr>
                <w:rFonts w:ascii="helvetica"/>
                <w:color w:val="000000"/>
                <w:sz w:val="20"/>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helvetica"/>
                <w:color w:val="000000"/>
                <w:sz w:val="20"/>
                <w:lang w:val="en-US"/>
              </w:rPr>
            </w:pPr>
            <w:r>
              <w:rPr>
                <w:rFonts w:ascii="helvetica"/>
                <w:color w:val="000000"/>
                <w:sz w:val="20"/>
                <w:rtl w:val="off"/>
                <w:lang w:val="en-US"/>
              </w:rPr>
              <w:t>(указывается фамилия, имя, отчество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helvetica"/>
                <w:color w:val="000000"/>
                <w:sz w:val="20"/>
                <w:lang w:val="en-US"/>
              </w:rPr>
            </w:pPr>
            <w:r>
              <w:rPr>
                <w:rFonts w:ascii="helvetica"/>
                <w:color w:val="000000"/>
                <w:sz w:val="20"/>
                <w:rtl w:val="off"/>
                <w:lang w:val="en-US"/>
              </w:rPr>
              <w:t>(при наличии) руководителя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helvetica"/>
                <w:color w:val="000000"/>
                <w:sz w:val="20"/>
                <w:lang w:val="en-US"/>
              </w:rPr>
            </w:pPr>
            <w:r>
              <w:rPr>
                <w:rFonts w:ascii="helvetica"/>
                <w:color w:val="000000"/>
                <w:sz w:val="20"/>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helvetica"/>
                <w:color w:val="000000"/>
                <w:sz w:val="20"/>
                <w:lang w:val="en-US"/>
              </w:rPr>
            </w:pPr>
            <w:r>
              <w:rPr>
                <w:rFonts w:ascii="helvetica"/>
                <w:color w:val="000000"/>
                <w:sz w:val="20"/>
                <w:rtl w:val="off"/>
                <w:lang w:val="en-US"/>
              </w:rPr>
              <w:t>(указывается адрес места нахождения контролируемого лица)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ПРЕДПИСАНИЕ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i/>
          <w:color w:val="000000"/>
          <w:sz w:val="20"/>
          <w:rtl w:val="off"/>
          <w:lang w:val="en-US"/>
        </w:rPr>
        <w:t>(указывается полное наименование контролируемого лица в дательном падеже)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об устранении выявленных нарушений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 результатам 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i/>
          <w:color w:val="000000"/>
          <w:sz w:val="20"/>
          <w:rtl w:val="off"/>
          <w:lang w:val="en-US"/>
        </w:rPr>
        <w:t>(указываются вид и форма контрольного мероприятия в соответствии с решением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проведенной 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i/>
          <w:color w:val="000000"/>
          <w:sz w:val="20"/>
          <w:rtl w:val="off"/>
          <w:lang w:val="en-US"/>
        </w:rPr>
        <w:t>(указывается полное наименование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отношении 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i/>
          <w:color w:val="000000"/>
          <w:sz w:val="20"/>
          <w:rtl w:val="off"/>
          <w:lang w:val="en-US"/>
        </w:rPr>
        <w:t>(указывается полное наименование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период с «__» _________________ 20__ г. по «__» _________________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на основании 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i/>
          <w:color w:val="000000"/>
          <w:sz w:val="20"/>
          <w:rtl w:val="off"/>
          <w:lang w:val="en-US"/>
        </w:rPr>
        <w:t>(указываются наименование и реквизиты акта Контрольного органа о проведении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выявлены нарушения обязательных требований ________________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i/>
          <w:color w:val="000000"/>
          <w:sz w:val="20"/>
          <w:rtl w:val="off"/>
          <w:lang w:val="en-US"/>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На основании изложенного, в соответствии с пунктом 1 части 2 статьи 90 Федерального закона от 31.07.2020 № 248-ФЗ «О государственном контроле (надзоре) и муниципальном контроле в Российской Федерации» 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i/>
          <w:color w:val="000000"/>
          <w:sz w:val="20"/>
          <w:rtl w:val="off"/>
          <w:lang w:val="en-US"/>
        </w:rPr>
        <w:t>(указывается полное наименование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предписывает: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Устранить выявленные нарушения обязательных требований в срок до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«______» ______________ 20_____ г. включительно.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 Уведомить 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i/>
          <w:color w:val="000000"/>
          <w:sz w:val="20"/>
          <w:rtl w:val="off"/>
          <w:lang w:val="en-US"/>
        </w:rPr>
        <w:t>(указывается полное наименование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до «__» _______________ 20_____ г. включительно.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Неисполнение настоящего предписания в установленный срок влечет ответственность, установленную законодательством Российской Федерации.</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__________________</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_______________________</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center"/>
              <w:rPr>
                <w:rFonts w:ascii="helvetica"/>
                <w:color w:val="000000"/>
                <w:sz w:val="20"/>
                <w:lang w:val="en-US"/>
              </w:rPr>
            </w:pPr>
            <w:r>
              <w:rPr>
                <w:rFonts w:ascii="helvetica"/>
                <w:color w:val="000000"/>
                <w:sz w:val="20"/>
                <w:rtl w:val="off"/>
                <w:lang w:val="en-US"/>
              </w:rPr>
              <w:t>__________________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(должность лица, уполномоченного на проведение контрольных мероприятий)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(подпись должностного лица, уполномоченного на проведение контрольных мероприятий)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color w:val="000000"/>
                <w:sz w:val="20"/>
                <w:rtl w:val="off"/>
                <w:lang w:val="en-US"/>
              </w:rPr>
              <w:t>(фамилия, имя, отчество (при наличии) должностного лица, уполномоченного на проведение контрольных мероприятий)</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402" w:right="0" w:firstLine="0"/>
        <w:jc w:val="right"/>
        <w:rPr>
          <w:rFonts w:ascii="helvetica"/>
          <w:color w:val="000000"/>
          <w:sz w:val="20"/>
          <w:lang w:val="en-US"/>
        </w:rPr>
      </w:pPr>
      <w:r>
        <w:rPr>
          <w:rFonts w:ascii="helvetica"/>
          <w:color w:val="000000"/>
          <w:sz w:val="20"/>
          <w:rtl w:val="off"/>
          <w:lang w:val="en-US"/>
        </w:rPr>
        <w:t xml:space="preserve">Приложение № 4 к Положению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Ключевые показатели вида контроля и их целевые значения, индикативные показатели для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helvetica"/>
          <w:color w:val="000000"/>
          <w:sz w:val="20"/>
          <w:lang w:val="en-US"/>
        </w:rPr>
      </w:pPr>
      <w:r>
        <w:rPr>
          <w:rFonts w:ascii="helvetica"/>
          <w:color w:val="000000"/>
          <w:sz w:val="20"/>
          <w:rtl w:val="off"/>
          <w:lang w:val="en-US"/>
        </w:rPr>
        <w:t>1. Ключевые показатели и их целевые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helvetica"/>
          <w:color w:val="000000"/>
          <w:sz w:val="20"/>
          <w:lang w:val="en-US"/>
        </w:rPr>
      </w:pPr>
      <w:r>
        <w:rPr>
          <w:rFonts w:ascii="helvetica"/>
          <w:color w:val="000000"/>
          <w:sz w:val="20"/>
          <w:rtl w:val="off"/>
          <w:lang w:val="en-US"/>
        </w:rPr>
        <w:t>Доля устраненных нарушений из числа выявленных нарушений обязательных требований - 70%.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helvetica"/>
          <w:color w:val="000000"/>
          <w:sz w:val="20"/>
          <w:lang w:val="en-US"/>
        </w:rPr>
      </w:pPr>
      <w:r>
        <w:rPr>
          <w:rFonts w:ascii="helvetica"/>
          <w:color w:val="000000"/>
          <w:sz w:val="20"/>
          <w:rtl w:val="off"/>
          <w:lang w:val="en-US"/>
        </w:rPr>
        <w:t>Доля обоснованных жалоб на действия (бездействие) контрольного органа и (или) его должностного лица при проведении контрольных мероприятий - 0%.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helvetica"/>
          <w:color w:val="000000"/>
          <w:sz w:val="20"/>
          <w:lang w:val="en-US"/>
        </w:rPr>
      </w:pPr>
      <w:r>
        <w:rPr>
          <w:rFonts w:ascii="helvetica"/>
          <w:color w:val="000000"/>
          <w:sz w:val="20"/>
          <w:rtl w:val="off"/>
          <w:lang w:val="en-US"/>
        </w:rPr>
        <w:t>Доля отмененных результатов контрольных мероприятий - 0%.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helvetica"/>
          <w:color w:val="000000"/>
          <w:sz w:val="20"/>
          <w:lang w:val="en-US"/>
        </w:rPr>
      </w:pPr>
      <w:r>
        <w:rPr>
          <w:rFonts w:ascii="helvetica"/>
          <w:color w:val="000000"/>
          <w:sz w:val="20"/>
          <w:rtl w:val="off"/>
          <w:lang w:val="en-US"/>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helvetica"/>
          <w:color w:val="000000"/>
          <w:sz w:val="20"/>
          <w:lang w:val="en-US"/>
        </w:rPr>
      </w:pPr>
      <w:r>
        <w:rPr>
          <w:rFonts w:ascii="helvetica"/>
          <w:color w:val="000000"/>
          <w:sz w:val="20"/>
          <w:rtl w:val="off"/>
          <w:lang w:val="en-US"/>
        </w:rPr>
        <w:t>Доля вынесенных судебных решений о назначении административного наказания по материалам контрольного органа - 95%.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helvetica"/>
          <w:color w:val="000000"/>
          <w:sz w:val="20"/>
          <w:lang w:val="en-US"/>
        </w:rPr>
      </w:pPr>
      <w:r>
        <w:rPr>
          <w:rFonts w:ascii="helvetica"/>
          <w:color w:val="000000"/>
          <w:sz w:val="20"/>
          <w:rtl w:val="off"/>
          <w:lang w:val="en-US"/>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helvetica"/>
          <w:color w:val="000000"/>
          <w:sz w:val="20"/>
          <w:lang w:val="en-US"/>
        </w:rPr>
      </w:pPr>
      <w:r>
        <w:rPr>
          <w:rFonts w:ascii="helvetica"/>
          <w:color w:val="000000"/>
          <w:sz w:val="20"/>
          <w:rtl w:val="off"/>
          <w:lang w:val="en-US"/>
        </w:rPr>
        <w:t>2. Индикативные показатели: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helvetica"/>
          <w:color w:val="000000"/>
          <w:sz w:val="20"/>
          <w:lang w:val="en-US"/>
        </w:rPr>
      </w:pPr>
      <w:r>
        <w:rPr>
          <w:rFonts w:ascii="helvetica"/>
          <w:color w:val="000000"/>
          <w:sz w:val="20"/>
          <w:rtl w:val="off"/>
          <w:lang w:val="en-US"/>
        </w:rPr>
        <w:t>При осуществлении муниципального контроля на автомобильном транспорте, городском наземном электрическом транспорте и в дорожном хозяйстве в Хабаровском муниципальном районе устанавливаются следующие индикативные показатели: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helvetica"/>
          <w:color w:val="000000"/>
          <w:sz w:val="20"/>
          <w:lang w:val="en-US"/>
        </w:rPr>
      </w:pPr>
      <w:r>
        <w:rPr>
          <w:rFonts w:ascii="helvetica"/>
          <w:color w:val="000000"/>
          <w:sz w:val="20"/>
          <w:rtl w:val="off"/>
          <w:lang w:val="en-US"/>
        </w:rPr>
        <w:t>количество проведенных внеплановых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helvetica"/>
          <w:color w:val="000000"/>
          <w:sz w:val="20"/>
          <w:lang w:val="en-US"/>
        </w:rPr>
      </w:pPr>
      <w:r>
        <w:rPr>
          <w:rFonts w:ascii="helvetica"/>
          <w:color w:val="000000"/>
          <w:sz w:val="20"/>
          <w:rtl w:val="off"/>
          <w:lang w:val="en-US"/>
        </w:rPr>
        <w:t>количество поступивших возражений в отношении акта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helvetica"/>
          <w:color w:val="000000"/>
          <w:sz w:val="20"/>
          <w:lang w:val="en-US"/>
        </w:rPr>
      </w:pPr>
      <w:r>
        <w:rPr>
          <w:rFonts w:ascii="helvetica"/>
          <w:color w:val="000000"/>
          <w:sz w:val="20"/>
          <w:rtl w:val="off"/>
          <w:lang w:val="en-US"/>
        </w:rPr>
        <w:t>количество выданных предписаний об устранении нарушений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helvetica"/>
          <w:color w:val="000000"/>
          <w:sz w:val="20"/>
          <w:lang w:val="en-US"/>
        </w:rPr>
      </w:pPr>
      <w:r>
        <w:rPr>
          <w:rFonts w:ascii="helvetica"/>
          <w:color w:val="000000"/>
          <w:sz w:val="20"/>
          <w:rtl w:val="off"/>
          <w:lang w:val="en-US"/>
        </w:rPr>
        <w:t>количество устраненных нарушений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30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latoweb"/>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lang w:val="en-US"/>
        </w:rPr>
        <w:br w:type="textWrapping"/>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