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Статьей 136 Трудового кодекса Российской Федерации установлено право работника на замену кредитной организации, в которую должна быть переведена заработная плата.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 06.08.2019 вступили в силу изменения, внесенные Федеральным законом Российской Федерации от 26.07.2019 № 231-ФЗ в статью 136 Трудового кодекса Российской Федерации, увеличившие с 5 до 15 рабочих дней срок, в течение которого работник при замене кредитной организации обязан в письменной форме сообщить об этом работодателю.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Кроме этого, Федеральным законом от 26.07.2019 № 221-ФЗ «О внесении изменений в статью 5.27 Кодекса Российской Федерации об административных правонарушениях», часть 6 статьи 5.27 Кодекса Российской Федерации об административных правонарушениях дополнена положениями, предусматривающими ответственность за воспрепятствование работодателем осуществлению работником права на замену кредитной организации, в которую должна быть переведена заработная плата.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Совершение данного правонарушения повлечет предупреждение или наложение административного штрафа на должностных лиц в размере от десяти тысяч до двадцати тысяч рублей; на лиц, осуществляющих предпринимательскую деятельность без образования юридического лица, –от одной тысячи до пяти тысяч рублей; на юридических лиц – от тридцати тысяч до пятидесяти тысяч рублей.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