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Ind w:type="dxa" w:w="2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left w:type="dxa" w:w="0"/>
          <w:right w:type="dxa" w:w="0"/>
        </w:tblCellMar>
      </w:tblPr>
      <w:tblGrid>
        <w:gridCol w:w="256"/>
        <w:gridCol w:w="283"/>
        <w:gridCol w:w="1985"/>
        <w:gridCol w:w="283"/>
        <w:gridCol w:w="993"/>
        <w:gridCol w:w="992"/>
        <w:gridCol w:w="425"/>
        <w:gridCol w:w="4111"/>
      </w:tblGrid>
      <w:tr>
        <w:trPr>
          <w:trHeight w:hRule="exact" w:val="1708"/>
        </w:trPr>
        <w:tc>
          <w:tcPr>
            <w:tcW w:type="dxa" w:w="25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6000000">
            <w:pPr>
              <w:widowControl w:val="1"/>
              <w:ind/>
              <w:jc w:val="right"/>
              <w:rPr>
                <w:sz w:val="18"/>
              </w:rPr>
            </w:pPr>
          </w:p>
        </w:tc>
        <w:tc>
          <w:tcPr>
            <w:tcW w:type="dxa" w:w="3544"/>
            <w:gridSpan w:val="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7000000">
            <w:pPr>
              <w:widowControl w:val="1"/>
              <w:ind/>
              <w:jc w:val="center"/>
              <w:rPr>
                <w:color w:themeColor="background1" w:themeShade="BF" w:val="BFBFBF"/>
                <w:sz w:val="18"/>
              </w:rPr>
            </w:pPr>
            <w:bookmarkStart w:id="3" w:name="STAMPCORNER"/>
            <w:r>
              <w:rPr>
                <w:color w:themeColor="background1" w:themeShade="BF" w:val="BFBFBF"/>
                <w:sz w:val="18"/>
              </w:rPr>
              <w:t>место для углового штампа</w:t>
            </w:r>
            <w:bookmarkEnd w:id="3"/>
          </w:p>
          <w:p w14:paraId="08000000">
            <w:pPr>
              <w:rPr>
                <w:sz w:val="18"/>
              </w:rPr>
            </w:pPr>
          </w:p>
        </w:tc>
        <w:tc>
          <w:tcPr>
            <w:tcW w:type="dxa" w:w="1417"/>
            <w:gridSpan w:val="2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09000000">
            <w:pPr>
              <w:widowControl w:val="1"/>
              <w:ind/>
              <w:jc w:val="center"/>
            </w:pPr>
          </w:p>
        </w:tc>
        <w:tc>
          <w:tcPr>
            <w:tcW w:type="dxa" w:w="411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0A000000">
            <w:pPr>
              <w:widowControl w:val="1"/>
              <w:spacing w:before="240"/>
              <w:ind/>
            </w:pPr>
          </w:p>
          <w:p w14:paraId="0B000000">
            <w:pPr>
              <w:widowControl w:val="1"/>
              <w:spacing w:before="240" w:line="240" w:lineRule="exact"/>
              <w:ind/>
            </w:pPr>
            <w:r>
              <w:t>Врип главы администрации</w:t>
            </w:r>
            <w:r>
              <w:t xml:space="preserve"> Хабаровского муниципального района Хабаровского края</w:t>
            </w:r>
          </w:p>
          <w:p w14:paraId="0C000000">
            <w:pPr>
              <w:widowControl w:val="1"/>
              <w:spacing w:before="240" w:line="240" w:lineRule="exact"/>
              <w:ind/>
            </w:pPr>
            <w:r>
              <w:t>Четвериковой В.В.</w:t>
            </w:r>
          </w:p>
          <w:p w14:paraId="0D000000">
            <w:pPr>
              <w:widowControl w:val="1"/>
              <w:spacing w:before="240" w:line="240" w:lineRule="exact"/>
              <w:ind/>
            </w:pPr>
            <w:r>
              <w:rPr>
                <w:sz w:val="26"/>
              </w:rPr>
              <w:t>Администрации</w:t>
            </w:r>
            <w:r>
              <w:rPr>
                <w:sz w:val="26"/>
              </w:rPr>
              <w:t xml:space="preserve"> поселений Хабаровского муниципального района Хабаровского края </w:t>
            </w:r>
            <w:r>
              <w:rPr>
                <w:sz w:val="26"/>
              </w:rPr>
              <w:br/>
            </w:r>
            <w:r>
              <w:rPr>
                <w:sz w:val="26"/>
              </w:rPr>
              <w:t>(по списку)</w:t>
            </w:r>
          </w:p>
          <w:p w14:paraId="0E000000">
            <w:pPr>
              <w:widowControl w:val="1"/>
              <w:spacing w:before="240" w:line="240" w:lineRule="exact"/>
              <w:ind/>
            </w:pPr>
          </w:p>
          <w:p w14:paraId="0F000000">
            <w:pPr>
              <w:widowControl w:val="1"/>
              <w:spacing w:before="240" w:line="240" w:lineRule="exact"/>
              <w:ind/>
            </w:pPr>
          </w:p>
          <w:p w14:paraId="10000000">
            <w:pPr>
              <w:widowControl w:val="1"/>
              <w:spacing w:before="240" w:line="240" w:lineRule="exact"/>
              <w:ind/>
            </w:pPr>
          </w:p>
        </w:tc>
      </w:tr>
      <w:tr>
        <w:trPr>
          <w:trHeight w:hRule="exact" w:val="1690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11000000">
            <w:pPr>
              <w:widowControl w:val="1"/>
              <w:spacing w:line="20" w:lineRule="exact"/>
              <w:ind w:left="-170"/>
              <w:jc w:val="center"/>
              <w:rPr>
                <w:sz w:val="6"/>
              </w:rPr>
            </w:pPr>
          </w:p>
          <w:p w14:paraId="12000000">
            <w:pPr>
              <w:widowControl w:val="1"/>
              <w:spacing w:line="120" w:lineRule="exact"/>
              <w:ind w:left="-170"/>
              <w:jc w:val="center"/>
              <w:rPr>
                <w:b w:val="1"/>
                <w:sz w:val="10"/>
              </w:rPr>
            </w:pPr>
          </w:p>
          <w:p w14:paraId="13000000">
            <w:pPr>
              <w:widowControl w:val="1"/>
              <w:spacing w:after="120" w:line="160" w:lineRule="exact"/>
              <w:ind w:left="-170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Прокуратура</w:t>
            </w:r>
            <w:r>
              <w:rPr>
                <w:b w:val="1"/>
                <w:sz w:val="20"/>
              </w:rPr>
              <w:t xml:space="preserve"> </w:t>
            </w:r>
            <w:r>
              <w:rPr>
                <w:b w:val="1"/>
                <w:sz w:val="20"/>
              </w:rPr>
              <w:t>Хабаровского</w:t>
            </w:r>
            <w:r>
              <w:rPr>
                <w:b w:val="1"/>
                <w:sz w:val="20"/>
              </w:rPr>
              <w:t xml:space="preserve"> района</w:t>
            </w:r>
          </w:p>
          <w:p w14:paraId="14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color w:themeColor="text1" w:val="000000"/>
                <w:sz w:val="18"/>
              </w:rPr>
              <w:t>Краснореченская ул., д. 70а</w:t>
            </w:r>
            <w:r>
              <w:rPr>
                <w:color w:themeColor="text1" w:val="000000"/>
                <w:sz w:val="18"/>
              </w:rPr>
              <w:t>, г. Хабаровск</w:t>
            </w:r>
            <w:r>
              <w:rPr>
                <w:sz w:val="18"/>
              </w:rPr>
              <w:t>,</w:t>
            </w:r>
          </w:p>
          <w:p w14:paraId="15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Хабаровский край, </w:t>
            </w:r>
            <w:r>
              <w:rPr>
                <w:color w:themeColor="text1" w:val="000000"/>
                <w:sz w:val="18"/>
              </w:rPr>
              <w:t>680003</w:t>
            </w:r>
          </w:p>
          <w:p w14:paraId="16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color w:themeColor="text1" w:val="000000"/>
                <w:sz w:val="18"/>
              </w:rPr>
              <w:t>тел. (4212) 51-20-87, факс (4212) 50-37-75</w:t>
            </w:r>
          </w:p>
          <w:p w14:paraId="17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mail</w:t>
            </w:r>
            <w:r>
              <w:rPr>
                <w:sz w:val="18"/>
              </w:rPr>
              <w:t>:</w:t>
            </w:r>
            <w:r>
              <w:rPr>
                <w:color w:themeColor="text1" w:val="000000"/>
                <w:sz w:val="18"/>
              </w:rPr>
              <w:t xml:space="preserve"> 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hbrn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phk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@181.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mailop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ru</w:t>
            </w:r>
          </w:p>
          <w:p w14:paraId="18000000">
            <w:pPr>
              <w:widowControl w:val="1"/>
              <w:spacing w:line="160" w:lineRule="exact"/>
              <w:ind w:left="-170"/>
              <w:jc w:val="center"/>
            </w:pPr>
            <w:r>
              <w:rPr>
                <w:sz w:val="18"/>
              </w:rPr>
              <w:t>https</w:t>
            </w:r>
            <w:r>
              <w:rPr>
                <w:sz w:val="18"/>
              </w:rPr>
              <w:t>://</w:t>
            </w:r>
            <w:r>
              <w:rPr>
                <w:sz w:val="18"/>
              </w:rPr>
              <w:t>epp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genproc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gov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ru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web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proc</w:t>
            </w:r>
            <w:r>
              <w:rPr>
                <w:sz w:val="18"/>
              </w:rPr>
              <w:t>_</w:t>
            </w:r>
            <w:r>
              <w:rPr>
                <w:sz w:val="18"/>
              </w:rPr>
              <w:t>27</w:t>
            </w: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417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rPr>
                <w:sz w:val="20"/>
              </w:rPr>
            </w:pPr>
            <w:bookmarkStart w:id="4" w:name="REGNUMDATESTAMP"/>
            <w:r>
              <w:rPr>
                <w:sz w:val="20"/>
              </w:rPr>
              <w:t>данные о регистрации (автоматически)</w:t>
            </w:r>
            <w:bookmarkEnd w:id="4"/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567"/>
        </w:trPr>
        <w:tc>
          <w:tcPr>
            <w:tcW w:type="dxa" w:w="539"/>
            <w:gridSpan w:val="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A000000">
            <w:pPr>
              <w:rPr>
                <w:sz w:val="20"/>
              </w:rPr>
            </w:pPr>
            <w:r>
              <w:rPr>
                <w:sz w:val="20"/>
              </w:rPr>
              <w:t>На №</w:t>
            </w:r>
          </w:p>
        </w:tc>
        <w:tc>
          <w:tcPr>
            <w:tcW w:type="dxa" w:w="198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</w:p>
        </w:tc>
        <w:tc>
          <w:tcPr>
            <w:tcW w:type="dxa" w:w="9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D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143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E000000">
            <w:pPr>
              <w:rPr>
                <w:sz w:val="18"/>
              </w:rPr>
            </w:pP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4792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F000000">
            <w:pPr>
              <w:widowControl w:val="1"/>
              <w:spacing w:line="240" w:lineRule="exact"/>
              <w:ind/>
              <w:rPr>
                <w:sz w:val="18"/>
              </w:rPr>
            </w:pPr>
            <w:r>
              <w:t>Информаци</w:t>
            </w:r>
            <w:r>
              <w:t xml:space="preserve">я </w:t>
            </w:r>
            <w:r>
              <w:t>д</w:t>
            </w:r>
            <w:r>
              <w:t xml:space="preserve">ля опубликования </w:t>
            </w:r>
            <w:r>
              <w:br/>
            </w:r>
            <w:r>
              <w:t>на</w:t>
            </w:r>
            <w:r>
              <w:t xml:space="preserve"> </w:t>
            </w:r>
            <w:r>
              <w:t>сайте</w:t>
            </w:r>
            <w:r>
              <w:t xml:space="preserve"> муниципального образования</w:t>
            </w:r>
          </w:p>
        </w:tc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20000000">
            <w:pPr>
              <w:rPr>
                <w:sz w:val="18"/>
              </w:rPr>
            </w:pPr>
          </w:p>
        </w:tc>
        <w:tc>
          <w:tcPr>
            <w:tcW w:type="dxa" w:w="411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21000000">
            <w:pPr>
              <w:rPr>
                <w:sz w:val="18"/>
              </w:rPr>
            </w:pPr>
          </w:p>
        </w:tc>
      </w:tr>
      <w:tr>
        <w:tc>
          <w:tcPr>
            <w:tcW w:type="dxa" w:w="4792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22000000">
            <w:pPr>
              <w:widowControl w:val="1"/>
              <w:spacing w:line="240" w:lineRule="exact"/>
              <w:ind/>
            </w:pPr>
          </w:p>
        </w:tc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411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23000000">
      <w:pPr>
        <w:widowControl w:val="1"/>
        <w:ind w:firstLine="709"/>
        <w:jc w:val="both"/>
      </w:pPr>
    </w:p>
    <w:p w14:paraId="24000000">
      <w:pPr>
        <w:widowControl w:val="1"/>
        <w:ind w:firstLine="709"/>
        <w:jc w:val="both"/>
      </w:pPr>
    </w:p>
    <w:p w14:paraId="25000000">
      <w:pPr>
        <w:widowControl w:val="1"/>
        <w:ind w:firstLine="709"/>
        <w:jc w:val="both"/>
      </w:pPr>
      <w:r>
        <w:t xml:space="preserve">Направляю Вам для опубликования на официальном сайте муниципального образования нижеприведенную информацию о результатах надзорной деятельности прокуратуры Хабаровского района. </w:t>
      </w:r>
    </w:p>
    <w:p w14:paraId="26000000">
      <w:pPr>
        <w:widowControl w:val="1"/>
        <w:ind w:firstLine="709"/>
        <w:jc w:val="both"/>
      </w:pPr>
      <w:r>
        <w:t xml:space="preserve">О результатах размещения информации прошу проинформировать прокуратуру района для исполнителя Потарской С.В., с указанием ссылки размещения информации на сайте, </w:t>
      </w:r>
      <w:r>
        <w:rPr>
          <w:b w:val="1"/>
        </w:rPr>
        <w:t>по возможности, не позднее 26.06.2026</w:t>
      </w:r>
      <w:r>
        <w:t>.</w:t>
      </w:r>
    </w:p>
    <w:p w14:paraId="27000000">
      <w:pPr>
        <w:widowControl w:val="1"/>
        <w:ind w:firstLine="709"/>
        <w:jc w:val="both"/>
      </w:pPr>
    </w:p>
    <w:p w14:paraId="28000000">
      <w:pPr>
        <w:widowControl w:val="1"/>
        <w:ind/>
        <w:jc w:val="both"/>
      </w:pPr>
      <w:r>
        <w:t>Приложение: на 2</w:t>
      </w:r>
      <w:r>
        <w:t xml:space="preserve"> л.</w:t>
      </w:r>
    </w:p>
    <w:p w14:paraId="29000000">
      <w:pPr>
        <w:pStyle w:val="Style_6"/>
        <w:widowControl w:val="1"/>
        <w:ind w:firstLine="720" w:right="6"/>
        <w:jc w:val="both"/>
        <w:rPr>
          <w:sz w:val="28"/>
        </w:rPr>
      </w:pPr>
    </w:p>
    <w:p w14:paraId="2A000000">
      <w:pPr>
        <w:pStyle w:val="Style_6"/>
        <w:widowControl w:val="1"/>
        <w:ind w:firstLine="720" w:right="6"/>
        <w:jc w:val="both"/>
        <w:rPr>
          <w:sz w:val="28"/>
        </w:rPr>
      </w:pP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395"/>
        <w:gridCol w:w="5103"/>
      </w:tblGrid>
      <w:tr>
        <w:tc>
          <w:tcPr>
            <w:tcW w:type="dxa" w:w="439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2B000000">
            <w:pPr>
              <w:widowControl w:val="1"/>
              <w:spacing w:line="240" w:lineRule="exact"/>
              <w:ind/>
            </w:pPr>
            <w:r>
              <w:t>П</w:t>
            </w:r>
            <w:r>
              <w:t xml:space="preserve">ервый заместитель </w:t>
            </w:r>
          </w:p>
          <w:p w14:paraId="2C000000">
            <w:pPr>
              <w:widowControl w:val="1"/>
              <w:spacing w:line="240" w:lineRule="exact"/>
              <w:ind/>
            </w:pPr>
            <w:r>
              <w:t>п</w:t>
            </w:r>
            <w:r>
              <w:t>рокурор</w:t>
            </w:r>
            <w:r>
              <w:t>а</w:t>
            </w:r>
            <w:r>
              <w:t xml:space="preserve"> района</w:t>
            </w:r>
          </w:p>
        </w:tc>
        <w:tc>
          <w:tcPr>
            <w:tcW w:type="dxa" w:w="51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D000000">
            <w:pPr>
              <w:widowControl w:val="1"/>
              <w:spacing w:line="240" w:lineRule="exact"/>
              <w:ind w:left="-106"/>
              <w:jc w:val="right"/>
            </w:pPr>
            <w:bookmarkStart w:id="5" w:name="SIGNERNAME1"/>
            <w:bookmarkEnd w:id="5"/>
          </w:p>
        </w:tc>
      </w:tr>
    </w:tbl>
    <w:p w14:paraId="2E000000">
      <w:pPr>
        <w:widowControl w:val="1"/>
        <w:ind w:left="3685"/>
        <w:rPr>
          <w:color w:themeColor="background1" w:themeShade="D9" w:val="D9D9D9"/>
        </w:rPr>
      </w:pPr>
      <w:bookmarkStart w:id="6" w:name="SIGNERSTAMP1"/>
      <w:r>
        <w:rPr>
          <w:color w:themeColor="background1" w:themeShade="D9" w:val="D9D9D9"/>
        </w:rPr>
        <w:t>штамп подписи</w:t>
      </w:r>
      <w:bookmarkEnd w:id="6"/>
    </w:p>
    <w:p w14:paraId="2F000000">
      <w:pPr>
        <w:rPr>
          <w:sz w:val="22"/>
        </w:rPr>
      </w:pPr>
    </w:p>
    <w:p w14:paraId="30000000">
      <w:pPr>
        <w:rPr>
          <w:sz w:val="22"/>
        </w:rPr>
      </w:pPr>
    </w:p>
    <w:p w14:paraId="31000000">
      <w:pPr>
        <w:rPr>
          <w:sz w:val="22"/>
        </w:rPr>
      </w:pPr>
    </w:p>
    <w:p w14:paraId="32000000">
      <w:pPr>
        <w:rPr>
          <w:sz w:val="22"/>
        </w:rPr>
      </w:pPr>
    </w:p>
    <w:p w14:paraId="33000000">
      <w:pPr>
        <w:rPr>
          <w:sz w:val="22"/>
        </w:rPr>
      </w:pPr>
    </w:p>
    <w:p w14:paraId="34000000">
      <w:pPr>
        <w:rPr>
          <w:sz w:val="22"/>
        </w:rPr>
      </w:pPr>
    </w:p>
    <w:p w14:paraId="35000000">
      <w:pPr>
        <w:rPr>
          <w:sz w:val="22"/>
        </w:rPr>
      </w:pPr>
    </w:p>
    <w:p w14:paraId="36000000">
      <w:pPr>
        <w:rPr>
          <w:sz w:val="22"/>
        </w:rPr>
      </w:pPr>
    </w:p>
    <w:p w14:paraId="37000000">
      <w:pPr>
        <w:rPr>
          <w:sz w:val="22"/>
        </w:rPr>
      </w:pPr>
    </w:p>
    <w:p w14:paraId="38000000">
      <w:pPr>
        <w:rPr>
          <w:sz w:val="22"/>
        </w:rPr>
      </w:pPr>
    </w:p>
    <w:p w14:paraId="39000000">
      <w:pPr>
        <w:rPr>
          <w:sz w:val="22"/>
        </w:rPr>
      </w:pPr>
    </w:p>
    <w:p w14:paraId="3A000000">
      <w:pPr>
        <w:rPr>
          <w:sz w:val="22"/>
        </w:rPr>
      </w:pPr>
    </w:p>
    <w:p w14:paraId="3B000000">
      <w:pPr>
        <w:rPr>
          <w:sz w:val="22"/>
        </w:rPr>
      </w:pPr>
    </w:p>
    <w:p w14:paraId="3C000000">
      <w:pPr>
        <w:rPr>
          <w:sz w:val="22"/>
        </w:rPr>
      </w:pPr>
    </w:p>
    <w:p w14:paraId="3D000000">
      <w:pPr>
        <w:rPr>
          <w:sz w:val="22"/>
        </w:rPr>
      </w:pPr>
    </w:p>
    <w:p w14:paraId="3E000000">
      <w:pPr>
        <w:rPr>
          <w:sz w:val="22"/>
        </w:rPr>
      </w:pPr>
    </w:p>
    <w:p w14:paraId="3F000000">
      <w:pPr>
        <w:rPr>
          <w:sz w:val="22"/>
        </w:rPr>
      </w:pPr>
    </w:p>
    <w:p w14:paraId="40000000">
      <w:pPr>
        <w:rPr>
          <w:sz w:val="22"/>
        </w:rPr>
      </w:pPr>
      <w:r>
        <w:rPr>
          <w:sz w:val="22"/>
        </w:rPr>
        <w:t>С.В. Потарская</w:t>
      </w:r>
      <w:r>
        <w:rPr>
          <w:sz w:val="22"/>
        </w:rPr>
        <w:br w:type="page"/>
      </w:r>
    </w:p>
    <w:p w14:paraId="41000000">
      <w:pPr>
        <w:widowControl w:val="1"/>
        <w:ind/>
        <w:jc w:val="right"/>
      </w:pPr>
      <w:r>
        <w:t>Приложение</w:t>
      </w:r>
    </w:p>
    <w:p w14:paraId="42000000">
      <w:pPr>
        <w:rPr>
          <w:sz w:val="22"/>
        </w:rPr>
      </w:pPr>
    </w:p>
    <w:p w14:paraId="43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color w:val="000000"/>
          <w:spacing w:val="-2"/>
          <w:sz w:val="28"/>
        </w:rPr>
      </w:pPr>
    </w:p>
    <w:p w14:paraId="44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 xml:space="preserve">Прокуратурой Хабаровского района в суд направлены </w:t>
      </w:r>
    </w:p>
    <w:p w14:paraId="45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>уголовные дела в отношении взяткодателей</w:t>
      </w:r>
    </w:p>
    <w:p w14:paraId="4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</w:p>
    <w:p w14:paraId="47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Прокурором Хабаровского района утверждены обвинительные заключения по уголовным делам в отношении 2-х лиц, обвиняемых 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br/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по ч. 2 ст. 291 УК РФ (дача взятки должностному лицу через посредника, в значительном размере).</w:t>
      </w:r>
    </w:p>
    <w:p w14:paraId="48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Установлено, что двое мужчин в возрасте 44 и 47 лет, отбывая наказание в исправительной колонии региона, с января по март 2024 года передали через посредника начальнику отдела учреждения по 100 тыс. рублей каждый за неприменение мер ответственности в случае совершения ими нарушений и согласование замены 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неотбытой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 части наказания более мягким его видом.</w:t>
      </w:r>
    </w:p>
    <w:p w14:paraId="49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Уголовное дело направлено в Хабаровский районный суд для 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рассмотрения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 по существу.</w:t>
      </w:r>
    </w:p>
    <w:p w14:paraId="4A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В отношении должностного лица и посредника во взяточничестве уголовные дела находятся в производстве.</w:t>
      </w:r>
    </w:p>
    <w:p w14:paraId="4B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</w:p>
    <w:p w14:paraId="4C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</w:p>
    <w:p w14:paraId="4D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>Прокуратура Хабаровского района добилась восстановления права участника СВО на получение предусмотренной законом выплаты</w:t>
      </w:r>
    </w:p>
    <w:p w14:paraId="4E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</w:p>
    <w:p w14:paraId="4F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Прокуратура Хабаровского района провела проверку по обращению участника специальной военной операции, которому было отказано в предоставлении единовременной материальной помощи.</w:t>
      </w:r>
    </w:p>
    <w:p w14:paraId="50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Основанием для отказа послужило формальное отсутствие документов, подтверждающих постоянное проживание заявителя на территории Хабаровского края на дату получения ранения.</w:t>
      </w:r>
    </w:p>
    <w:p w14:paraId="51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В ходе проверки прокуратура установила, что военнослужащий на дату получения ранения фактически проживал вместе с семьей на территории Хабаровского района, однако имел временную регистрацию.</w:t>
      </w:r>
    </w:p>
    <w:p w14:paraId="52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В целях защиты прав участника специальной военной операции прокуратура района обратилась в суд с исковым заявлением о признании факта постоянного проживания на территории Хабаровского края на дату ранения.</w:t>
      </w:r>
    </w:p>
    <w:p w14:paraId="53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Хабаровский районный суд исковые требования прокуратуры района удовлетворил.</w:t>
      </w:r>
    </w:p>
    <w:p w14:paraId="54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Благодаря вмешательству надзорного ведомства военнослужащий получил региональную выплату в размере 300 тыс. рублей.</w:t>
      </w:r>
    </w:p>
    <w:p w14:paraId="55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</w:p>
    <w:p w14:paraId="56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  <w:r>
        <w:br w:type="page"/>
      </w:r>
    </w:p>
    <w:p w14:paraId="57000000">
      <w:pPr>
        <w:widowControl w:val="1"/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 xml:space="preserve">В Хабаровском крае осужден 21-летний житель региона </w:t>
      </w:r>
    </w:p>
    <w:p w14:paraId="58000000">
      <w:pPr>
        <w:widowControl w:val="1"/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>за совершение тяжкого преступления</w:t>
      </w:r>
    </w:p>
    <w:p w14:paraId="59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</w:p>
    <w:p w14:paraId="5A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Хабаровский районный суд Хабаровского края вынес обвинительный приговор в отношении местного жителя по ч. 4 ст. 111 УК РФ (умышленное причинение тяжкого вреда здоровью, повлекшее по неосторожности смерть человека).</w:t>
      </w:r>
    </w:p>
    <w:p w14:paraId="5B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В суде установлено, что в ноябре 2025 года в квартире на ул. Центральной села Восточное осужденный узнал, что потерпевший, находясь в состоянии алкогольного опьянения, издевался над своими престарелыми родителями, закрывая их на холодном балконе.</w:t>
      </w:r>
    </w:p>
    <w:p w14:paraId="5C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Между мужчинами произошел конфликт, в результате которого виновный нанес многочисленные удары потерпевшему, затем усадил его на лавочку и ушел. От полученных травм мужчина скончался.</w:t>
      </w:r>
    </w:p>
    <w:p w14:paraId="5D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Вину подсудимый признал.</w:t>
      </w:r>
    </w:p>
    <w:p w14:paraId="5E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Суд назначил виновному наказание в виде 6 лет лишения свободы с отбыванием наказания в исправительной колонии общего режима.</w:t>
      </w:r>
    </w:p>
    <w:p w14:paraId="5F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Приговор в законную силу не вступил.</w:t>
      </w:r>
    </w:p>
    <w:p w14:paraId="60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Государственное обвинение поддержано сотрудниками прокуратуры Хабаровского района.</w:t>
      </w:r>
    </w:p>
    <w:p w14:paraId="61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</w:p>
    <w:p w14:paraId="62000000">
      <w:pPr>
        <w:widowControl w:val="1"/>
        <w:spacing w:after="0" w:line="240" w:lineRule="auto"/>
        <w:ind w:firstLine="737"/>
        <w:rPr>
          <w:rFonts w:ascii="Times New Roman" w:hAnsi="Times New Roman"/>
          <w:color w:val="000000"/>
          <w:spacing w:val="-2"/>
          <w:sz w:val="28"/>
        </w:rPr>
      </w:pPr>
    </w:p>
    <w:p w14:paraId="63000000">
      <w:pPr>
        <w:widowControl w:val="1"/>
        <w:spacing w:after="0" w:line="240" w:lineRule="auto"/>
        <w:ind w:firstLine="737"/>
        <w:jc w:val="center"/>
        <w:rPr>
          <w:rFonts w:ascii="Times New Roman" w:hAnsi="Times New Roman"/>
          <w:b w:val="1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b w:val="1"/>
          <w:color w:val="000000"/>
          <w:spacing w:val="-2"/>
          <w:sz w:val="28"/>
        </w:rPr>
        <w:t>В Хабаровском крае осужден местный житель, управлявший автомобилем в состоянии опьянения</w:t>
      </w:r>
    </w:p>
    <w:p w14:paraId="64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</w:p>
    <w:p w14:paraId="65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Хабаровским районным судом Хабаровского края вынесен обвинительный приговор в отношении 54-летнего местного жителя за совершение преступления по ч. 1 ст. 264.1 УК РФ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опьянения).</w:t>
      </w:r>
    </w:p>
    <w:p w14:paraId="6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Судом установлено, что в августе 2025 года водитель автомобиля «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Mitsubishi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 xml:space="preserve"> 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Canter</w:t>
      </w:r>
      <w:r>
        <w:rPr>
          <w:rStyle w:val="Style_7_ch"/>
          <w:rFonts w:ascii="Times New Roman" w:hAnsi="Times New Roman"/>
          <w:color w:val="000000"/>
          <w:spacing w:val="-2"/>
          <w:sz w:val="28"/>
        </w:rPr>
        <w:t>» стал участником ДТП в районе села Хехцир. Сотрудники Госавтоинспекции установили, что он находился в состоянии опьянения. Выяснилось, что ранее мужчина уже привлекался к административной ответственности за вождение в нетрезвом виде, однако должных выводов не сделал.</w:t>
      </w:r>
    </w:p>
    <w:p w14:paraId="67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Суд назначил виновному наказание в виде 300 часов обязательных работ с лишением права заниматься деятельностью, связанной с управлением транспортными средствами, сроком на 2 года 6 месяцев.</w:t>
      </w:r>
    </w:p>
    <w:p w14:paraId="68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Также в доход государства конфискован автомобиль, принадлежащий виновному.</w:t>
      </w:r>
    </w:p>
    <w:p w14:paraId="69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pacing w:val="-2"/>
          <w:sz w:val="28"/>
        </w:rPr>
      </w:pPr>
      <w:r>
        <w:rPr>
          <w:rStyle w:val="Style_7_ch"/>
          <w:rFonts w:ascii="Times New Roman" w:hAnsi="Times New Roman"/>
          <w:color w:val="000000"/>
          <w:spacing w:val="-2"/>
          <w:sz w:val="28"/>
        </w:rPr>
        <w:t>Государственное обвинение поддержано сотрудниками прокуратуры Хабаровского района.</w:t>
      </w:r>
    </w:p>
    <w:sectPr>
      <w:headerReference r:id="rId2" w:type="default"/>
      <w:footerReference r:id="rId1" w:type="first"/>
      <w:pgSz w:h="16838" w:orient="portrait" w:w="11906"/>
      <w:pgMar w:bottom="1134" w:footer="680" w:gutter="0" w:header="680" w:left="1701" w:right="73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/>
            <w:ind/>
            <w:jc w:val="center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  <w:rPr>
        <w:sz w:val="22"/>
      </w:rPr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7_ch" w:type="character">
    <w:name w:val="Normal"/>
    <w:link w:val="Style_7"/>
    <w:rPr>
      <w:rFonts w:ascii="Times New Roman" w:hAnsi="Times New Roman"/>
      <w:sz w:val="28"/>
    </w:rPr>
  </w:style>
  <w:style w:styleId="Style_8" w:type="paragraph">
    <w:name w:val="toc 2"/>
    <w:next w:val="Style_7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Body Text"/>
    <w:basedOn w:val="Style_7"/>
    <w:link w:val="Style_9_ch"/>
    <w:pPr>
      <w:widowControl w:val="1"/>
      <w:spacing w:after="120"/>
      <w:ind/>
    </w:pPr>
    <w:rPr>
      <w:sz w:val="24"/>
    </w:rPr>
  </w:style>
  <w:style w:styleId="Style_9_ch" w:type="character">
    <w:name w:val="Body Text"/>
    <w:basedOn w:val="Style_7_ch"/>
    <w:link w:val="Style_9"/>
    <w:rPr>
      <w:sz w:val="24"/>
    </w:rPr>
  </w:style>
  <w:style w:styleId="Style_10" w:type="paragraph">
    <w:name w:val="toc 4"/>
    <w:next w:val="Style_7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Знак Знак1 Знак Знак Знак"/>
    <w:basedOn w:val="Style_7"/>
    <w:link w:val="Style_11_ch"/>
    <w:pPr>
      <w:widowControl w:val="1"/>
      <w:spacing w:after="160" w:line="240" w:lineRule="exact"/>
      <w:ind w:left="26"/>
    </w:pPr>
    <w:rPr>
      <w:sz w:val="24"/>
    </w:rPr>
  </w:style>
  <w:style w:styleId="Style_11_ch" w:type="character">
    <w:name w:val="Знак Знак1 Знак Знак Знак"/>
    <w:basedOn w:val="Style_7_ch"/>
    <w:link w:val="Style_11"/>
    <w:rPr>
      <w:sz w:val="24"/>
    </w:rPr>
  </w:style>
  <w:style w:styleId="Style_12" w:type="paragraph">
    <w:name w:val="toc 6"/>
    <w:next w:val="Style_7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footnote reference"/>
    <w:basedOn w:val="Style_15"/>
    <w:link w:val="Style_14_ch"/>
    <w:rPr>
      <w:vertAlign w:val="superscript"/>
    </w:rPr>
  </w:style>
  <w:style w:styleId="Style_14_ch" w:type="character">
    <w:name w:val="footnote reference"/>
    <w:basedOn w:val="Style_15_ch"/>
    <w:link w:val="Style_14"/>
    <w:rPr>
      <w:vertAlign w:val="superscript"/>
    </w:rPr>
  </w:style>
  <w:style w:styleId="Style_16" w:type="paragraph">
    <w:name w:val="Normal (Web)"/>
    <w:basedOn w:val="Style_7"/>
    <w:link w:val="Style_16_ch"/>
    <w:pPr>
      <w:widowControl w:val="1"/>
      <w:spacing w:afterAutospacing="on" w:beforeAutospacing="on"/>
      <w:ind/>
    </w:pPr>
    <w:rPr>
      <w:sz w:val="24"/>
    </w:rPr>
  </w:style>
  <w:style w:styleId="Style_16_ch" w:type="character">
    <w:name w:val="Normal (Web)"/>
    <w:basedOn w:val="Style_7_ch"/>
    <w:link w:val="Style_16"/>
    <w:rPr>
      <w:sz w:val="24"/>
    </w:rPr>
  </w:style>
  <w:style w:styleId="Style_17" w:type="paragraph">
    <w:name w:val="End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7"/>
    <w:link w:val="Style_1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6" w:type="paragraph">
    <w:name w:val="Стиль"/>
    <w:link w:val="Style_6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6_ch" w:type="character">
    <w:name w:val="Стиль"/>
    <w:link w:val="Style_6"/>
    <w:rPr>
      <w:rFonts w:ascii="Times New Roman" w:hAnsi="Times New Roman"/>
      <w:sz w:val="24"/>
    </w:rPr>
  </w:style>
  <w:style w:styleId="Style_19" w:type="paragraph">
    <w:name w:val="ConsPlusNormal"/>
    <w:link w:val="Style_19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9_ch" w:type="character">
    <w:name w:val="ConsPlusNormal"/>
    <w:link w:val="Style_19"/>
    <w:rPr>
      <w:rFonts w:ascii="Times New Roman" w:hAnsi="Times New Roman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0" w:type="paragraph">
    <w:name w:val="Standard"/>
    <w:link w:val="Style_20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0_ch" w:type="character">
    <w:name w:val="Standard"/>
    <w:link w:val="Style_20"/>
    <w:rPr>
      <w:rFonts w:ascii="Times New Roman" w:hAnsi="Times New Roman"/>
      <w:sz w:val="24"/>
    </w:rPr>
  </w:style>
  <w:style w:styleId="Style_21" w:type="paragraph">
    <w:name w:val="toc 3"/>
    <w:next w:val="Style_7"/>
    <w:link w:val="Style_2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Body Text 2"/>
    <w:basedOn w:val="Style_7"/>
    <w:link w:val="Style_22_ch"/>
    <w:pPr>
      <w:widowControl w:val="1"/>
      <w:spacing w:after="120" w:line="480" w:lineRule="auto"/>
      <w:ind/>
    </w:pPr>
  </w:style>
  <w:style w:styleId="Style_22_ch" w:type="character">
    <w:name w:val="Body Text 2"/>
    <w:basedOn w:val="Style_7_ch"/>
    <w:link w:val="Style_22"/>
  </w:style>
  <w:style w:styleId="Style_23" w:type="paragraph">
    <w:name w:val="heading 5"/>
    <w:next w:val="Style_7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" w:type="paragraph">
    <w:name w:val="footer"/>
    <w:basedOn w:val="Style_7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24" w:type="paragraph">
    <w:name w:val="heading 1"/>
    <w:next w:val="Style_7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5" w:type="paragraph">
    <w:name w:val="Hyperlink"/>
    <w:basedOn w:val="Style_15"/>
    <w:link w:val="Style_5_ch"/>
    <w:rPr>
      <w:color w:themeColor="hyperlink" w:val="0000FF"/>
      <w:u w:val="single"/>
    </w:rPr>
  </w:style>
  <w:style w:styleId="Style_5_ch" w:type="character">
    <w:name w:val="Hyperlink"/>
    <w:basedOn w:val="Style_15_ch"/>
    <w:link w:val="Style_5"/>
    <w:rPr>
      <w:color w:themeColor="hyperlink" w:val="0000FF"/>
      <w:u w:val="single"/>
    </w:rPr>
  </w:style>
  <w:style w:styleId="Style_25" w:type="paragraph">
    <w:name w:val="Footnote"/>
    <w:basedOn w:val="Style_7"/>
    <w:link w:val="Style_25_ch"/>
    <w:rPr>
      <w:sz w:val="20"/>
    </w:rPr>
  </w:style>
  <w:style w:styleId="Style_25_ch" w:type="character">
    <w:name w:val="Footnote"/>
    <w:basedOn w:val="Style_7_ch"/>
    <w:link w:val="Style_25"/>
    <w:rPr>
      <w:sz w:val="20"/>
    </w:rPr>
  </w:style>
  <w:style w:styleId="Style_26" w:type="paragraph">
    <w:name w:val="toc 1"/>
    <w:next w:val="Style_7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7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7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7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" w:type="paragraph">
    <w:name w:val="header"/>
    <w:basedOn w:val="Style_7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header"/>
    <w:basedOn w:val="Style_7_ch"/>
    <w:link w:val="Style_3"/>
  </w:style>
  <w:style w:styleId="Style_31" w:type="paragraph">
    <w:name w:val="Balloon Text"/>
    <w:basedOn w:val="Style_7"/>
    <w:link w:val="Style_31_ch"/>
    <w:rPr>
      <w:rFonts w:ascii="Tahoma" w:hAnsi="Tahoma"/>
      <w:sz w:val="16"/>
    </w:rPr>
  </w:style>
  <w:style w:styleId="Style_31_ch" w:type="character">
    <w:name w:val="Balloon Text"/>
    <w:basedOn w:val="Style_7_ch"/>
    <w:link w:val="Style_31"/>
    <w:rPr>
      <w:rFonts w:ascii="Tahoma" w:hAnsi="Tahoma"/>
      <w:sz w:val="16"/>
    </w:rPr>
  </w:style>
  <w:style w:styleId="Style_32" w:type="paragraph">
    <w:name w:val="ConsPlusTitle"/>
    <w:link w:val="Style_32_ch"/>
    <w:pPr>
      <w:widowControl w:val="0"/>
      <w:spacing w:after="0" w:line="240" w:lineRule="auto"/>
      <w:ind/>
    </w:pPr>
    <w:rPr>
      <w:rFonts w:ascii="Arial" w:hAnsi="Arial"/>
      <w:b w:val="1"/>
      <w:sz w:val="24"/>
    </w:rPr>
  </w:style>
  <w:style w:styleId="Style_32_ch" w:type="character">
    <w:name w:val="ConsPlusTitle"/>
    <w:link w:val="Style_32"/>
    <w:rPr>
      <w:rFonts w:ascii="Arial" w:hAnsi="Arial"/>
      <w:b w:val="1"/>
      <w:sz w:val="24"/>
    </w:rPr>
  </w:style>
  <w:style w:styleId="Style_33" w:type="paragraph">
    <w:name w:val="Subtitle"/>
    <w:next w:val="Style_7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7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7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7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paragraph">
    <w:name w:val="List Paragraph"/>
    <w:basedOn w:val="Style_7"/>
    <w:link w:val="Style_37_ch"/>
    <w:pPr>
      <w:widowControl w:val="1"/>
      <w:ind w:left="720"/>
      <w:contextualSpacing w:val="1"/>
    </w:pPr>
  </w:style>
  <w:style w:styleId="Style_37_ch" w:type="character">
    <w:name w:val="List Paragraph"/>
    <w:basedOn w:val="Style_7_ch"/>
    <w:link w:val="Style_37"/>
  </w:style>
  <w:style w:styleId="Style_4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 светлая2"/>
    <w:basedOn w:val="Style_1"/>
    <w:pPr>
      <w:widowControl w:val="1"/>
      <w:spacing w:after="0" w:line="240" w:lineRule="auto"/>
      <w:ind/>
    </w:pPr>
    <w:tblPr>
      <w:tblBorders>
        <w:top w:sz="4" w:themeColor="background1" w:themeShade="BF" w:val="single"/>
        <w:left w:sz="4" w:themeColor="background1" w:themeShade="BF" w:val="single"/>
        <w:bottom w:sz="4" w:themeColor="background1" w:themeShade="BF" w:val="single"/>
        <w:right w:sz="4" w:themeColor="background1" w:themeShade="BF" w:val="single"/>
        <w:insideH w:sz="4" w:themeColor="background1" w:themeShade="BF" w:val="single"/>
        <w:insideV w:sz="4" w:themeColor="background1" w:themeShade="BF" w:val="single"/>
      </w:tblBorders>
    </w:tblPr>
  </w:style>
  <w:style w:styleId="Style_39" w:type="table">
    <w:name w:val="Сетка таблицы светлая1"/>
    <w:basedOn w:val="Style_1"/>
    <w:pPr>
      <w:widowControl w:val="1"/>
      <w:spacing w:after="0" w:line="240" w:lineRule="auto"/>
      <w:ind/>
    </w:pPr>
    <w:tblPr>
      <w:tblBorders>
        <w:top w:color="BFBFBF" w:sz="4" w:val="single"/>
        <w:left w:color="BFBFBF" w:sz="4" w:val="single"/>
        <w:bottom w:color="BFBFBF" w:sz="4" w:val="single"/>
        <w:right w:color="BFBFBF" w:sz="4" w:val="single"/>
        <w:insideH w:color="BFBFBF" w:sz="4" w:val="single"/>
        <w:insideV w:color="BFBFBF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2026-06-24T00:36:47Z</dcterms:created>
  <dcterms:modified xsi:type="dcterms:W3CDTF">2026-06-24T01:08:48Z</dcterms:modified>
</cp:coreProperties>
</file>