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31.01.2018 №  60-170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14 820,080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5 110,080 тыс. рублей, в том числе безвозмездные поступления из других бюджетов – 5 110,080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18 091,496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9 710,000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15 542,038 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944,00 тыс. рублей, на 2019 год в сумме 565,00 тыс. рублей, на 2020 год в сумме 616,00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6373,85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191,00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5365,300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10842,795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6119,429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1570,980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18091,496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Ведомственная структура расходов бюджета сельского поселения на 2018 год    </w:t>
      </w:r>
    </w:p>
    <w:p>
      <w:pPr>
        <w:rPr/>
      </w:pPr>
    </w:p>
    <w:p>
      <w:pPr>
        <w:rPr/>
      </w:pPr>
      <w:r>
        <w:t xml:space="preserve">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руб.) 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11961,467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6534,760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5365,300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Специальные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3330,317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3040,317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2604,066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1882,966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/>
      </w:pPr>
      <w:r>
        <w:t xml:space="preserve"> 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1570,980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18091,496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-14 820, 080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-14 820, 080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18 091,496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18 091,496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