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внесении изменений в Трудовой Кодекс Российской Федерации</w:t>
      </w:r>
    </w:p>
    <w:p>
      <w:pPr>
        <w:rPr>
          <w:lang w:val="ru-RU"/>
        </w:rPr>
      </w:pPr>
      <w:r>
        <w:rPr>
          <w:lang w:val="ru-RU"/>
        </w:rPr>
        <w:t>Федеральным законом от 09.11.2020 № 362-ФЗ внесены изменения в Трудовой кодекс Российской Федерации, дополнив ст. 144 ТК РФ, устанавливающую системы оплаты труда работников государственных и муниципальных учреждений частями 8 и 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силу новых норм трудового законодательства Правительство Российской Федерации вправе утверждать требования к системам оплаты труда работников государственных и муниципальных учреждений, в том числе в части установления (дифференциации) окладов (должностных окладов), ставок заработной платы, перечней выплат компенсационного характера, стимулирующих выплат, условий назначения выплат компенсационного характера, стимулирующих выплат.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муниципальных учреждений, на которые распространяются указанные требования, а также срок, в течение которого таким учреждениям необходимо привести условия оплаты труда работников в соответствие с указанными требованиями.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Также изменения коснулись ст.ст. 332.1, 336.2 ТК РФ регламентирующие заключения и прекращения трудового договора с руководителями, заместителями руководителей государственных        и муниципальных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образовательных организаций высшего образования и руководителями их филиалов и соответственно руководителями, заместителями руководителей государственных и муниципальных научных организаций и руководителями их филиалов.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согласно новой редакции, одно и то же лицо не может замещать должность руководителя одной и той же организации более трех сроков, если иное не предусмотрено федеральными законами или решениями Президента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отдельных случаях, предусмотренных федеральными законами или решениями Президента Российской Федерации, срок пребывания руководителя государственной или муниципальной научной организации в своей должности по достижении им возраста, установленного частью второй настоящей статьи, может быть продлен.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http://mirnoeadm.ru/61f74566-c54e-44e5-920b-48ca5e918066" align="right" hspace="118" v:shapes="_x0000_s1026" style="margin-left: 111px; margin-right: -111px;"&gt;Таким образом, наряду с федеральными законами в настоящее время порядок может быть регламентирован решениями Президента Российской Федерации.</w:t>
      </w:r>
    </w:p>
    <w:p>
      <w:pPr>
        <w:rPr/>
      </w:pPr>
    </w:p>
    <w:p>
      <w:r>
        <w:rPr>
          <w:lang w:val="ru-RU"/>
        </w:rPr>
        <w:t>Помощник транспортного прокурора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