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14.07.2022 № 63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О выделении и оборудовании специальных мест для размещения предвыборной агитации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федеральными законами от 12.06.2002 № 67-ФЗ «Об основных гарантиях избирательных прав и права на участие в референдуме граждан Российской Федерации», статье 66 Избирательного кодекса Хабаровского края, учитывая решение участковой избирательной комиссии № 783, на которую возложено исполнение полномочий по организации и проведению досрочных выборов депутатов Совета депутатов Мирненского сельского поселения Хабаровского муниципального района Хабаровского края, назначенных на 11.09.2022, от 14.07.2022 № 9</w:t>
      </w:r>
      <w:r>
        <w:rPr>
          <w:rFonts w:ascii="times"/>
          <w:color w:val="000000"/>
          <w:sz w:val="21"/>
          <w:rtl w:val="off"/>
          <w:lang w:val="en-US"/>
        </w:rPr>
        <w:t xml:space="preserve">  </w:t>
      </w:r>
      <w:r>
        <w:rPr>
          <w:rFonts w:ascii="times"/>
          <w:color w:val="000000"/>
          <w:sz w:val="21"/>
          <w:rtl w:val="off"/>
          <w:lang w:val="en-US"/>
        </w:rPr>
        <w:t>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Выделить и оборудовать специальные места для размещения печатных агитационных материалов кандидатов при проведении на территории Мирненского сельского поселения Хабаровского муниципального района Хабаровского края досрочных выборов депутатов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Утвердить Перечень мест для размещения печатных агитационных материалов кандидатов при проведении на территории Мирненского сельского поселения Хабаровского муниципального района Хабаровского края досрочных выборов депутатов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Контроль за выполнением настоящего постановления возложить на главного специалиста администрации сельского поселения Н.И. Лещёву.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Постановление главы Мирненского сельского поселения от 07.07.2021 № 87 «О выделении и оборудовании специальных мест для размещения предвыборной агитации»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5. </w:t>
      </w:r>
      <w:r>
        <w:rPr>
          <w:rFonts w:ascii="times"/>
          <w:color w:val="000000"/>
          <w:sz w:val="21"/>
          <w:rtl w:val="off"/>
          <w:lang w:val="en-US"/>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Настоящее постановление вступает в силу после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 014.07.2022 № 63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о выделении на территории каждого избирательного участка Хабаровского муниципального района специальных мест для размещения печатных предвыборных агитационных материалов при </w:t>
      </w:r>
      <w:r>
        <w:rPr>
          <w:rFonts w:ascii="times"/>
          <w:color w:val="000000"/>
          <w:sz w:val="21"/>
          <w:rtl w:val="off"/>
          <w:lang w:val="en-US"/>
        </w:rPr>
        <w:t>проведении на территории Мирненского сельского поселения Хабаровского муниципального района Хабаровского края досрочных выборов депутатов Совета депутатов Мирненского сельского поселения Хабаровского муниципального района Хабаровского края</w:t>
      </w:r>
    </w:p>
    <w:tbl>
      <w:tblPr>
        <w:bidiVisual w:val="off"/>
        <w:tblW w:w="9735"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836"/>
        <w:gridCol w:w="802"/>
        <w:gridCol w:w="1399"/>
        <w:gridCol w:w="3062"/>
        <w:gridCol w:w="827"/>
        <w:gridCol w:w="1595"/>
        <w:gridCol w:w="1214"/>
      </w:tblGrid>
      <w:tr>
        <w:trPr>
          <w:wBefore w:w="0" w:type="dxa"/>
          <w:jc w:val="left"/>
        </w:trPr>
        <w:tc>
          <w:tcPr>
            <w:cnfStyle w:val="100010000000"/>
            <w:tcW w:w="836"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п/п</w:t>
            </w:r>
          </w:p>
        </w:tc>
        <w:tc>
          <w:tcPr>
            <w:cnfStyle w:val="100001000000"/>
            <w:tcW w:w="80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0"/>
                <w:lang w:val="en-US"/>
              </w:rPr>
            </w:pPr>
            <w:r>
              <w:rPr>
                <w:rFonts w:ascii="times"/>
                <w:color w:val="000000"/>
                <w:sz w:val="20"/>
                <w:rtl w:val="off"/>
                <w:lang w:val="en-US"/>
              </w:rPr>
              <w:t>Номер избирательного участка</w:t>
            </w:r>
          </w:p>
        </w:tc>
        <w:tc>
          <w:tcPr>
            <w:cnfStyle w:val="100010000000"/>
            <w:tcW w:w="139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Наименование района</w:t>
            </w:r>
          </w:p>
        </w:tc>
        <w:tc>
          <w:tcPr>
            <w:cnfStyle w:val="100001000000"/>
            <w:tcW w:w="306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Наименование населенного пункта</w:t>
            </w:r>
          </w:p>
        </w:tc>
        <w:tc>
          <w:tcPr>
            <w:cnfStyle w:val="100010000000"/>
            <w:tcW w:w="827"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Информация о месте нахождения (улица, номер дома, уточняющая информация)</w:t>
            </w:r>
          </w:p>
        </w:tc>
        <w:tc>
          <w:tcPr>
            <w:cnfStyle w:val="100001000000"/>
            <w:tcW w:w="1595"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Количество специальных мест</w:t>
            </w:r>
          </w:p>
        </w:tc>
        <w:tc>
          <w:tcPr>
            <w:cnfStyle w:val="100010000000"/>
            <w:tcW w:w="121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Размеры специального места</w:t>
            </w:r>
          </w:p>
        </w:tc>
      </w:tr>
      <w:tr>
        <w:trPr>
          <w:wBefore w:w="0" w:type="dxa"/>
          <w:jc w:val="left"/>
        </w:trPr>
        <w:tc>
          <w:tcPr>
            <w:cnfStyle w:val="000010000000"/>
            <w:tcW w:w="836"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1</w:t>
            </w:r>
          </w:p>
        </w:tc>
        <w:tc>
          <w:tcPr>
            <w:cnfStyle w:val="000001000000"/>
            <w:tcW w:w="80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2</w:t>
            </w:r>
          </w:p>
        </w:tc>
        <w:tc>
          <w:tcPr>
            <w:cnfStyle w:val="000010000000"/>
            <w:tcW w:w="139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3</w:t>
            </w:r>
          </w:p>
        </w:tc>
        <w:tc>
          <w:tcPr>
            <w:cnfStyle w:val="000001000000"/>
            <w:tcW w:w="306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4</w:t>
            </w:r>
          </w:p>
        </w:tc>
        <w:tc>
          <w:tcPr>
            <w:cnfStyle w:val="000010000000"/>
            <w:tcW w:w="827"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5</w:t>
            </w:r>
          </w:p>
        </w:tc>
        <w:tc>
          <w:tcPr>
            <w:cnfStyle w:val="000001000000"/>
            <w:tcW w:w="1595"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6</w:t>
            </w:r>
          </w:p>
        </w:tc>
        <w:tc>
          <w:tcPr>
            <w:cnfStyle w:val="000010000000"/>
            <w:tcW w:w="121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7</w:t>
            </w:r>
          </w:p>
        </w:tc>
      </w:tr>
      <w:tr>
        <w:trPr>
          <w:wBefore w:w="0" w:type="dxa"/>
          <w:jc w:val="left"/>
        </w:trPr>
        <w:tc>
          <w:tcPr>
            <w:cnfStyle w:val="000010000000"/>
            <w:tcW w:w="836"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tc>
        <w:tc>
          <w:tcPr>
            <w:cnfStyle w:val="000001000000"/>
            <w:tcW w:w="80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УИК № 782</w:t>
            </w:r>
          </w:p>
        </w:tc>
        <w:tc>
          <w:tcPr>
            <w:cnfStyle w:val="000010000000"/>
            <w:tcW w:w="1399"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Мирненское сельское поселение Хабаровского муниципального района Хабаровского края</w:t>
            </w:r>
          </w:p>
        </w:tc>
        <w:tc>
          <w:tcPr>
            <w:cnfStyle w:val="000001000000"/>
            <w:tcW w:w="306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Мирное</w:t>
            </w:r>
          </w:p>
        </w:tc>
        <w:tc>
          <w:tcPr>
            <w:cnfStyle w:val="000010000000"/>
            <w:tcW w:w="827"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Информационные стенды: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Рабочая,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Клубная,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въезде в квартал «Солнечный город»;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жилых домах квартала</w:t>
            </w:r>
            <w:r>
              <w:rPr>
                <w:rFonts w:ascii="times"/>
                <w:color w:val="000000"/>
                <w:sz w:val="21"/>
                <w:rtl w:val="off"/>
                <w:lang w:val="en-US"/>
              </w:rPr>
              <w:t xml:space="preserve"> </w:t>
            </w:r>
            <w:r>
              <w:rPr>
                <w:rFonts w:ascii="times"/>
                <w:color w:val="000000"/>
                <w:sz w:val="20"/>
                <w:rtl w:val="off"/>
                <w:lang w:val="en-US"/>
              </w:rPr>
              <w:t>«Твердохлебово»;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 Скворцово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ул. Центральная, 17</w:t>
            </w:r>
          </w:p>
        </w:tc>
        <w:tc>
          <w:tcPr>
            <w:cnfStyle w:val="000001000000"/>
            <w:tcW w:w="1595"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w:t>
            </w:r>
          </w:p>
        </w:tc>
        <w:tc>
          <w:tcPr>
            <w:cnfStyle w:val="000010000000"/>
            <w:tcW w:w="121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0,6*0,9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1,0*0,9</w:t>
            </w:r>
          </w:p>
        </w:tc>
      </w:tr>
      <w:tr>
        <w:trPr>
          <w:wBefore w:w="0" w:type="dxa"/>
          <w:jc w:val="left"/>
        </w:trPr>
        <w:tc>
          <w:tcPr>
            <w:cnfStyle w:val="000010000000"/>
            <w:tcW w:w="836"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w:t>
            </w:r>
          </w:p>
        </w:tc>
        <w:tc>
          <w:tcPr>
            <w:cnfStyle w:val="000001000000"/>
            <w:tcW w:w="802"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УИК № 783</w:t>
            </w:r>
          </w:p>
        </w:tc>
      </w:tr>
    </w:tbl>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