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28.02.2018 № 63-179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 следующие изменения:</w:t>
      </w:r>
    </w:p>
    <w:p>
      <w:pPr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2018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14 814,190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9 710,000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5 104,190 тыс. рублей, в том числе безвозмездные поступления из других бюджетов – 5 104,190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18 085,606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           9 710,000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3271,416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2019 год:</w:t>
      </w: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        15 542,038 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2020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«Статья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0,000 тыс. рублей, на 2019 год в сумме 0,000 тыс. рублей, на 2020 год в сумме 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944,00 тыс. рублей, на 2019 год в сумме 565,00 тыс. рублей, на 2020 год в сумме 616,00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21.12.2017 №59-168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10523,000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1349,000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/>
      </w:pPr>
      <w:r>
        <w:t xml:space="preserve"> 1 11 09000 00 0000 000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5104,190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5104,190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173,200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1050,500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1050,500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14814,190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5365,300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173,200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10654,193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освещения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6119,429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1563,980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18085,606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11955,577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6688,760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5547,500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5365,300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Специальные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173,200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173,200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173,200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3176,317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2886,317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2415,464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1694,364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210,853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муниципальных служащих в рамках непрограммных расходов органов местного самоуправления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/>
      </w:pPr>
      <w:r>
        <w:t xml:space="preserve"> 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6130,029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1597,480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1563,980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18085,606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-14 814, 190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-14 814, 190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18 085,606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18 085,606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