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«Возрастная иммунная недостаточность»: почему 14 лет — не всегда приговор</w:t>
      </w:r>
    </w:p>
    <w:p w14:paraId="02000000">
      <w:pPr>
        <w:spacing w:line="240" w:lineRule="auto"/>
        <w:ind/>
        <w:jc w:val="both"/>
        <w:rPr>
          <w:sz w:val="28"/>
        </w:rPr>
      </w:pPr>
    </w:p>
    <w:p w14:paraId="03000000">
      <w:pPr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>Достижение 14 лет в уголовном праве — это не автоматический «приговор» и не безусловное основание для привлечения к ответственности. Законодательство Российской Федерации предусматривает целый ряд механизмов, позволяющих учесть индивидуальные особенности развития личности, что подтверждается как нормами Уголовного кодекса Российской Федерации, так и разъяснениями высших судебных инстанций.</w:t>
      </w:r>
    </w:p>
    <w:p w14:paraId="04000000">
      <w:pPr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Общий возраст уголовной ответственности установлен с 16 лет (ч. 1 </w:t>
      </w:r>
      <w:r>
        <w:rPr>
          <w:sz w:val="28"/>
        </w:rPr>
        <w:br/>
      </w:r>
      <w:r>
        <w:rPr>
          <w:sz w:val="28"/>
        </w:rPr>
        <w:t xml:space="preserve">ст. 20 УК РФ). Ответственность с 14 лет — это исключение, которое применяется только за строго определенный, закрытый перечень преступлений, перечисленный </w:t>
      </w:r>
      <w:r>
        <w:rPr>
          <w:sz w:val="28"/>
        </w:rPr>
        <w:br/>
      </w:r>
      <w:r>
        <w:rPr>
          <w:sz w:val="28"/>
        </w:rPr>
        <w:t xml:space="preserve">в ч. 2 ст. 20 УК РФ (убийство, кража, грабеж, изнасилование, террористический акт </w:t>
      </w:r>
      <w:r>
        <w:rPr>
          <w:sz w:val="28"/>
        </w:rPr>
        <w:br/>
      </w:r>
      <w:r>
        <w:rPr>
          <w:sz w:val="28"/>
        </w:rPr>
        <w:t>и др.).</w:t>
      </w:r>
    </w:p>
    <w:p w14:paraId="05000000">
      <w:pPr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Ключевая норма, которая делает 14-летний возраст не абсолютным критерием, — это ч. 3 ст. 20 УК РФ. Она гласит: если несовершеннолетний достиг возраста </w:t>
      </w:r>
      <w:r>
        <w:rPr>
          <w:sz w:val="28"/>
        </w:rPr>
        <w:br/>
      </w:r>
      <w:r>
        <w:rPr>
          <w:sz w:val="28"/>
        </w:rPr>
        <w:t xml:space="preserve">14 или 16 лет, но вследствие отставания в психическом развитии, не связанном </w:t>
      </w:r>
      <w:r>
        <w:rPr>
          <w:sz w:val="28"/>
        </w:rPr>
        <w:br/>
      </w:r>
      <w:r>
        <w:rPr>
          <w:sz w:val="28"/>
        </w:rPr>
        <w:t xml:space="preserve">с психическим расстройством, во время совершения деяния не мог в полной мере осознавать его характер и общественную опасность либо руководить им, </w:t>
      </w:r>
      <w:r>
        <w:rPr>
          <w:sz w:val="28"/>
        </w:rPr>
        <w:br/>
      </w:r>
      <w:r>
        <w:rPr>
          <w:sz w:val="28"/>
        </w:rPr>
        <w:t>он не подлежит уголовной ответственности .</w:t>
      </w:r>
    </w:p>
    <w:p w14:paraId="06000000">
      <w:pPr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>Это принципиально важная позиция, которая прямо указывает на приоритет интеллектуально-волевых способностей над формальным возрастом .</w:t>
      </w:r>
    </w:p>
    <w:p w14:paraId="07000000">
      <w:pPr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Если судебная экспертиза подтвердит отставание, уголовное дело подлежит прекращению (выносится оправдательный приговор или постановление </w:t>
      </w:r>
      <w:r>
        <w:rPr>
          <w:sz w:val="28"/>
        </w:rPr>
        <w:br/>
      </w:r>
      <w:r>
        <w:rPr>
          <w:sz w:val="28"/>
        </w:rPr>
        <w:t>о прекращении), поскольку отсутствует главный признак субъекта преступления — возрастная вменяемость .</w:t>
      </w:r>
    </w:p>
    <w:p w14:paraId="08000000">
      <w:pPr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Помимо возрастного отставания, действует и общая норма о невменяемости. Если у 14-летнего подростка имеется психическое расстройство, лишающее </w:t>
      </w:r>
      <w:r>
        <w:rPr>
          <w:sz w:val="28"/>
        </w:rPr>
        <w:br/>
      </w:r>
      <w:r>
        <w:rPr>
          <w:sz w:val="28"/>
        </w:rPr>
        <w:t>его способности осознавать свои действия или руководить ими, он не подлежит уголовной ответственности вовсе (ст. 21 УК РФ) . В этом случае судом могут быть назначены принудительные меры медицинского характера.</w:t>
      </w:r>
    </w:p>
    <w:p w14:paraId="09000000">
      <w:pPr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>Даже если подросток 14 лет признается вменяемым и подлежит ответственности, его возраст и уровень развития продолжают играть решающую роль на стадии назначения наказания.</w:t>
      </w:r>
    </w:p>
    <w:p w14:paraId="0A000000">
      <w:pPr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Согласно ст. 89 УК РФ при назначении наказания несовершеннолетнему учитываются условия его жизни и воспитания, уровень психического развития, иные особенности личности. </w:t>
      </w:r>
      <w:r>
        <w:rPr>
          <w:sz w:val="28"/>
        </w:rPr>
        <w:t xml:space="preserve">Несовершеннолетие само по себе является смягчающим обстоятельством </w:t>
      </w:r>
      <w:r>
        <w:rPr>
          <w:sz w:val="28"/>
        </w:rPr>
        <w:t>(п. «б» ч. 1 ст. 61 УК РФ) .</w:t>
      </w:r>
    </w:p>
    <w:p w14:paraId="0B000000">
      <w:pPr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Таким образом, 14 лет в уголовном праве — это отправная точка возможной, но не неизбежной ответственности. Закон требует от правоприменителей глубокого анализа личности: важен не только календарный возраст, но и «психологический возраст» подростка, его способность реально осознавать происходящее. Именно этот гуманистический подход, закрепленный в ч. 3 ст. 20 УК РФ, опровергает тезис </w:t>
      </w:r>
      <w:r>
        <w:rPr>
          <w:sz w:val="28"/>
        </w:rPr>
        <w:br/>
      </w:r>
      <w:r>
        <w:rPr>
          <w:sz w:val="28"/>
        </w:rPr>
        <w:t>о фатальности 14-летнего возраста.</w:t>
      </w:r>
    </w:p>
    <w:sectPr>
      <w:pgSz w:h="16848" w:orient="portrait" w:w="11908"/>
      <w:pgMar w:bottom="975" w:footer="708" w:gutter="0" w:header="708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basedOn w:val="Style_1"/>
    <w:link w:val="Style_12_ch"/>
    <w:rPr>
      <w:sz w:val="20"/>
    </w:rPr>
  </w:style>
  <w:style w:styleId="Style_12_ch" w:type="character">
    <w:name w:val="Footnote"/>
    <w:basedOn w:val="Style_1_ch"/>
    <w:link w:val="Style_12"/>
    <w:rPr>
      <w:sz w:val="20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footnote reference"/>
    <w:basedOn w:val="Style_15"/>
    <w:link w:val="Style_14_ch"/>
    <w:rPr>
      <w:vertAlign w:val="superscript"/>
    </w:rPr>
  </w:style>
  <w:style w:styleId="Style_14_ch" w:type="character">
    <w:name w:val="footnote reference"/>
    <w:basedOn w:val="Style_15_ch"/>
    <w:link w:val="Style_14"/>
    <w:rPr>
      <w:vertAlign w:val="superscript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Normal (Web)"/>
    <w:basedOn w:val="Style_1"/>
    <w:link w:val="Style_18_ch"/>
    <w:pPr>
      <w:widowControl w:val="1"/>
      <w:spacing w:afterAutospacing="on" w:beforeAutospacing="on"/>
      <w:ind/>
    </w:pPr>
  </w:style>
  <w:style w:styleId="Style_18_ch" w:type="character">
    <w:name w:val="Normal (Web)"/>
    <w:basedOn w:val="Style_1_ch"/>
    <w:link w:val="Style_18"/>
  </w:style>
  <w:style w:styleId="Style_19" w:type="paragraph">
    <w:name w:val="toc 8"/>
    <w:next w:val="Style_1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List Paragraph"/>
    <w:basedOn w:val="Style_1"/>
    <w:link w:val="Style_20_ch"/>
    <w:pPr>
      <w:widowControl w:val="1"/>
      <w:ind w:left="720"/>
      <w:contextualSpacing w:val="1"/>
    </w:pPr>
  </w:style>
  <w:style w:styleId="Style_20_ch" w:type="character">
    <w:name w:val="List Paragraph"/>
    <w:basedOn w:val="Style_1_ch"/>
    <w:link w:val="Style_20"/>
  </w:style>
  <w:style w:styleId="Style_21" w:type="paragraph">
    <w:name w:val="toc 5"/>
    <w:next w:val="Style_1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3" w:type="paragraph">
    <w:name w:val="Title"/>
    <w:next w:val="Style_1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2026-06-19T01:10:34Z</dcterms:created>
  <dcterms:modified xsi:type="dcterms:W3CDTF">2026-06-19T01:10:34Z</dcterms:modified>
</cp:coreProperties>
</file>