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Прокуратура Хабаровского района разъясняет</w:t>
      </w:r>
    </w:p>
    <w:p>
      <w:pPr>
        <w:rPr/>
      </w:pPr>
    </w:p>
    <w:p>
      <w:r>
        <w:rPr>
          <w:lang w:val="ru-RU"/>
        </w:rPr>
        <w:t>Согласно ст. 20.2 Кодекса Российской Федерации об административных правонарушениях нарушение участником публичного мероприятия установленного порядка проведения собрания, митинга, демонстрации, шествия или пикетирования, влечет наложение административного штрафа в размере от десяти тысяч до двадцати тысяч рублей или обязательные работы на срок до сорока часов.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