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Изменения законодательства о градостроительстве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Федеральным законом от 29.12.2015 № 402-ФЗ «О внесении изменений в статью 49 Градостроительного кодекса Российской Федерации и статью 4 Федерального закона «О введении в действие Градостроительного кодекса Российской Федерации» внесены изменения в Градостроительный кодекс, вследствие чего сокращается перечень объектов капитального строительства, проектная документация которых не подлежит экспертизе.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Предусматривается, что в случае, если строительство и реконструкция осуществляется без привлечения средств бюджетов бюджетной системы РФ, то государственная экспертиза проектной документации не проводится в отношении: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жилых домов с количеством этажей не более чем 3, состоящих из нескольких блоков, количество которых не превышает 10,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 (жилые дома блокированной застройки);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многоквартирных домов с количеством этажей не более чем 3, состоящих из одной или нескольких блок-секций, количество которых не превышает 4, в каждой из которых находятся несколько квартир и помещения общего пользования и каждая из которых имеет отдельный подъезд с выходом на территорию общего пользования.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Кроме того, устанавливается, что проведение экспертизы проектной документации указанных объектов капитального строительства не требуется и в случае, если разрешения на строительство указанных объектов капитального строительства выданы до 1 января 2016 года.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Приказом Минстроя России от 09.12.2015 № 887/пр вводятся новые требования к составу, содержанию и порядку оформления заключения государственной экспертизы проектной документации и (или) результатов инженерных изысканий.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Регламентированы состав, содержание и порядок оформления заключения в отношении результатов инженерных изысканий, проектной документации, проектной документации и результатов инженерных изысканий.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Обновляются требования к содержанию разделов заключения экспертизы, в частности, в разделе "общие положения" теперь необходимо указывать сведения об источниках финансирования объекта капитального строительства. Также в данный раздел могут включаться иные представленные по усмотрению заявителя сведения, необходимые для идентификации объекта капитального строительства, исполнителей работ по подготовке документации, заявителя, застройщика, технического заказчика.</w:t>
      </w:r>
    </w:p>
    <w:p>
      <w:pPr>
        <w:rPr/>
      </w:pPr>
    </w:p>
    <w:p>
      <w:r>
        <w:rPr>
          <w:lang w:val="en-US"/>
        </w:rPr>
        <w:t>Кроме того, обновлена форма положительного (отрицательного) заключения экспертизы. Регистрационный номер заключения теперь состоит из 11 знаков, разделенных на 7 частей, а в примечаниях к форме приводится расшифровка значений каждой из частей номера.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