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Срок, в течение которого работник может обжаловать дисциплинарное взыскание, зависит от органа, в который обращается работник за защитой своего права.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 (часть 7 статьи 193 ТК РФ).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(статья 392 ТК РФ).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 пропуске этих сроков они могут быть восстановлены судом. Работник может обратиться в комиссию по трудовым спорам в трехмесячный срок со дня, когда он узнал или должен был узнать о нарушении своего права (статья 386 ТК РФ). В случае пропуска по уважительным причинам установленного срока комиссия по трудовым спорам может его восстановить и разрешить спор по существу.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смыслу статей 45, 46 ГПК РФ в их взаимосвязи со статьей 392 ТК РФ при обращении в суд прокурора, профессионального союза с заявлением в защиту трудовых прав, свобод и законных интересов работников начало течения срока обращения в суд за разрешением индивидуального трудового спора определяется исходя из того, когда о нарушении своего права узнало или должно было узнать лицо, в интересах которого подано такое заявление, если иное не установлено законом.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