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СОВЕТ ДЕПУТАТОВ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РЕШЕНИЕ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18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15.10.2020 № 23-82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18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 xml:space="preserve">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О внесении изменений в решение Совета депутатов Мирненского сельского поселения от 25.12.2019 № 13-51 «О бюджете Мирненского сельского поселения на 2020 год и плановый период 2021 и 2022 годов»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Рассмотрев характеристики бюджета сельского поселения на 2020 год и на плановый период 2021 и 2022 годов, руководствуясь Бюджетным кодексом Российской Федерации, Положением о бюджетном процессе в Мирненском сельском поселении, Совет депутатов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РЕШИЛ: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1.Внести в решение Совета депутатов Мирненского сельского поселения от 25.12.2019 № 13-51 «О бюджете Мирненского сельского поселения на 2020 год  и плановый период 2021 и 2022 годов» следующие изменения: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1.1.Статью 1 изложить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 xml:space="preserve">Статья 1. Основные характеристики бюджета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 xml:space="preserve">Мирненского сельского поселения на 2020 год и плановый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период 2021 и 2022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 xml:space="preserve">1. Утвердить основные характеристики и иные показатели бюджета Мирненского сельского поселения на 2020 год: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1) общий  объем  доходов бюджета сельского поселения в сумме         18 067,069тыс. рублей, из них: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- налоговые и неналоговые доходы в сумме 11 030,800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- безвозмездные поступления 7 036,269 тыс. рублей, в том числе безвозмездные поступления из других бюджетов – 7 036,269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2) общий объем расходов бюджета сельского поселения в сумме    20 892, 664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3) верхний предел муниципального внутреннего долга по состоянию на 1 января 2020 года в сумме 0,000 тыс. рублей, в  том числе верхний предел муниципального долга по муниципальным гарантиям в сумме 0,000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 xml:space="preserve"> 4)дефицит бюджета сельского поселения в сумме 2825,595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1.2. Приложение № 2 к решению Совета депутатов Мирненского сельского поселения читать в следующей редакции: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360"/>
        <w:gridCol w:w="36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663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«Приложение № 2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663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к решению Совета депутатов Мирненского сельского поселения 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663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от 25.12.2019 № 13-51   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Поступление доходов бюджета Мирненского сельского поселения в 2020 году и в плановом периоде 2021 и 2022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(тыс.рублей)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44"/>
        <w:gridCol w:w="144"/>
        <w:gridCol w:w="144"/>
        <w:gridCol w:w="144"/>
        <w:gridCol w:w="144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Код Бюджетной классификации Российской Федерации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Наименование групп, подгрупп, статей, подстатей, элементов, программ (подпрограмм), кодов экономической классификации доходов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Сумма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2020 год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2021 год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2022 год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1 00 00000 00 0000 000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Налоговые и неналоговые доходы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11030,800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11212,000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11448,000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1 01 00000 00 0000 000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Налоги на прибыль, доходы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792,000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832,000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875,000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1 01 02000 01 0000 110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Налог на доходы физических лиц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792,000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832,000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875,000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1 01 02010 01 0000 110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осуществляется в соответствии со статьями 227,2271 и 228 Налогового кодекса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786,000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825,000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868,000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1 01 02020 01 0000 110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 адвокатов, учредивших адвокатские кабинеты и других лиц занимающихся частной практикой в соответствии со статьей 227 Налогового кодекса РФ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6,000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1 03 00000 00 0000 000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758,800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772,000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772,000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103020000 01 0000 110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Доходы от уплаты акцизов на этиловый спирт из пищевого сырья (дистилляты винный, виноградный, плодовый, коньячный, кальвадосный, висковый), производимый на территории Российской Федерации, направляемые в уполномоченный территориальный орган Федерального казначейства для распределения в бюджеты субъектов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758,800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772,000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772,000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1 03 02230 01 0000 110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348,000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261,000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261,000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1 03 02240 01 0000 110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1,800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1,700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1,700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1 03 02250 01 0000 110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454,000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557,000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557,000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1 03 02260 01 0000 110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-45,000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-47,700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-47,700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1 05 00000 00 0000 000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Налоги на совокупный доход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2782,000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2902,000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3024,000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1 05 01000 00 0000 110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2782,000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2902,000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3024,000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1 05 01011 01 1000 110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1318,000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1375,000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1433,000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1 05 01021 01 0000 110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1464,000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1527,000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1591,000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1 06 00000 00 0000 000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Налоги на имущество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6283,000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6348,000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6414,000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1 06 01000 00 0000 110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Налог на имущество физических лиц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912,000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924,000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936,000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1 06 01030 10 0000 110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912,000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924,000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936,000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1 06 04000 02 0000 110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Транспортный налог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2402,000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2425,000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2450,000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1 06 04011 02 0000 110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Транспортный налог с организаций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377,000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380,000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384,000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1 06 04012 02 0000 110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Транспортный налог с физических лиц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2025,000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2045,000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2066,000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1 06 06000 00 0000 110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Земельный налог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2969,000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2999,000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3028,000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1 06 06030 00 0000 110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Земельный налог с организаций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1098,000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1109,000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1120,000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1 06 06033 10 0000 110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1098,000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1109,000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1 06 06040 00 0000 110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Земельный налог с физических лиц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1871,000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1890,000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1908,000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1 06 06043 10 0000 110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1871,000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1890,000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1908,000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1 08 00000 00 0000 000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Государственная пошлина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14,000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1 08 04020 01 0000 110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14,000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1 11 00000 00 0000 000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290,000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250,000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255,000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1 11 05000 00 0000 120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казённых)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120,000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1 11 05070 00 0000 120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1 11 05075 10 0000 120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 xml:space="preserve"> 1 11 09000 00 0000 120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170,000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170,000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 xml:space="preserve"> 1 11 09040 00 0000 120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170,000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170,000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1 11 09045 10 0000 120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170,000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170,000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1 13 00000 00 0000 000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Доходы от оказания платных услуг и компенсации затрат государства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94,000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1 13 01000 00 0000 130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 xml:space="preserve">Доходы от оказания платных услуг (работ)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94,000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1 13 01995 10 0000 130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Прочие доходы от оказания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платных услуг (работ) получателями средств бюджетов поселений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42,000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42,000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1 13 02995 10 0000 130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Прочие доходы от компенсации затрат бюджетов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52,000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52,000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52,000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1 17 00000 00 0000 000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Прочие неналоговые доходы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17,000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1 17 05000 00 0000 180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Прочие неналоговые доходы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17,000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1 17 05050 10 0000 180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Прочие неналоговые доходы бюджетов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17,000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i/>
                <w:color w:val="000000"/>
                <w:sz w:val="24"/>
                <w:rtl w:val="off"/>
                <w:lang w:val="en-US"/>
              </w:rPr>
              <w:t>2 00 00000 00 0000 000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i/>
                <w:color w:val="000000"/>
                <w:sz w:val="24"/>
                <w:rtl w:val="off"/>
                <w:lang w:val="en-US"/>
              </w:rPr>
              <w:t>Безвозмездные поступления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i/>
                <w:color w:val="000000"/>
                <w:sz w:val="24"/>
                <w:rtl w:val="off"/>
                <w:lang w:val="en-US"/>
              </w:rPr>
              <w:t>7036,269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i/>
                <w:color w:val="000000"/>
                <w:sz w:val="24"/>
                <w:rtl w:val="off"/>
                <w:lang w:val="en-US"/>
              </w:rPr>
              <w:t>3589,397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i/>
                <w:color w:val="000000"/>
                <w:sz w:val="24"/>
                <w:rtl w:val="off"/>
                <w:lang w:val="en-US"/>
              </w:rPr>
              <w:t>3595,345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2 02 00000 00 0000 000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7061,177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3589,397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3595,345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2 02 16001 00 0000 150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Дотация на выравнивание бюджетной обеспеченности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2973,711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2977,612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2978,220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2 02 16001 10 0000 150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Дотация бюджетам сельских поселений на выравнивание бюджетной обеспеченности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2973,711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2977,612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2978,220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2 02 20000 00 0000 150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1141,850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2 02 20216 10 0000 150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Субсидии бюджетам сельских поселений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397,860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2 02 29999 00 0000 150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Прочие субсидии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743,990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2 02 29999 10 0000 150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Прочие субсидии бюджетам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743,990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2 02 30000 00 0000 150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Субвенции бюджетам бюджетной системы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305,780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287,360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292,700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2 02 30024 10 0000 150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2,200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2,200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2 02 35118 10 0000 150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Субвенция на осуществление полномочий по первичному воинскому учёту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303,580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285,160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290,500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2 02 40000 00 0000 150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Иные межбюджетные трансферты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2639,836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324,425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324,425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2 02 49999 10 0000 150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2639,836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324,425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324,425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2 07 05030 10 0000 150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Прочие поступления в бюджеты сельского поселения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107,000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2 07 05030 10 0000 150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Прочие безвозмездные поступления в бюджеты сельского поселения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107,000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 xml:space="preserve">  2 19 60010 10 0000 150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Возврат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-131,908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18067,069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14801,397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 xml:space="preserve">15043,345 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1.3. Приложение № 5 к решению Совета депутатов Мирненского сельского поселения читать в следующей редакции: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360"/>
        <w:gridCol w:w="36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528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«Приложение №5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528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к решению Совета депутатов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528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Мирненского сельского поселения 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528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от 25.12.2019 № 13-51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Распределение бюджетных ассигнований по целевым статьям (программам и непрограммным направлениям деятельности), группам видов расходов классификации расходов бюджета Мирненского сельского поселения Хабаровского муниципального района Хабаровского края на 2020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 xml:space="preserve">                                                                                                               (тыс.рублей)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80"/>
        <w:gridCol w:w="180"/>
        <w:gridCol w:w="180"/>
        <w:gridCol w:w="18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Наименование показателя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ЦСР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ВР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Сумма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Муниципальная программа «Развитие и поддержка малого и среднего предпринимательства в Мирненском сельском поселении Хабаровского муниципального района Хабаровского края на 2016 – 2020 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Мероприятия по нормативно-правовому, аналитическому и организационному обеспечению малого и среднего предпринимательства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Муниципальная программа энергосбережения и повышения энергетической эффективности на территории Мирненского сельского поселения Хабаровского муниципального района Хабаровского края на 2018-2020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0700000000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Мероприятия по энергосбережению и повышению энергетической эффективности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0700000001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0700000001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0700000001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0700000001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Муниципальная программа «Доступная среда в Мирненском сельском поселении Хабаровского муниципального района Хабаровского края на 2020-2022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1300000000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Мероприятия по обеспечению беспрепятственного доступа к приоритетным объектам и услугам в приоритетных сферах жизнедеятельности инвалидов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1300000001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1300000001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1300000001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1300000001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Муниципальная программа «Развитие отрасли культуры в Мирненском сельском поселении Хабаровского муниципального района Хабаровского края на 2018-2020гг.»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1400000000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Мероприятия в рамках муниципальной программы «Развитие отрасли культуры в Мирненском сельском поселении Хабаровского муниципального района Хабаровского края на 2018-2020гг.» поддержка и развитие материально-технической базы отрасли культуры.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1400100004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1400100004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1400100004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1400100004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Муниципальная программа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2019-2021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1600000000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Информационное обеспечение, противопожарная пропаганда и обучение мерам пожарной безопасности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1600000001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1600000001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1600000001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1600000001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Муниципальная программа "Предупреждение коррупции в Мирненском сельском поселении 2018-2020гг"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2100000000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Организационное обеспечение предупреждения коррупции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2100000001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2100000001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2100000001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2100000001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Муниципальная  программа «Развитие муниципальной службы в администрации Мирненского сельского поселения Хабаровского муниципального района на 2018-2020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2400000000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71,720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Повышение квалификации муниципальных служащих  Мероприятие  в рамках программы «Развитие муниципальной службы в администрации Мирненского сельского поселения Хабаровского муниципального района на 2018-2020 годы», краевые средства.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24001SС31К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21,720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24001SС31К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21,720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24001SС31К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21,720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24001SС31К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21,720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Повышение квалификации муниципальных служащих  Мероприятие  в рамках программы «Развитие муниципальной службы в администрации Мирненского сельского поселения Хабаровского муниципального района на 2018-2020 годы», собственные средства.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24001SС31М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24001SС31М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24001SС31М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24001SС31М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Обеспечение рабочих мест муниципальных служащих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Муниципальная программа "Безопасный город" Мирненского сельского поселения Хабаровского муниципального района Хабаровского края на 2018-2020 гг.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2710000000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Обеспечение мер по выявлению и пресечению противоправных действий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2710000010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2710000010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2710000010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2710000010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 xml:space="preserve">Муниципальная программа </w:t>
            </w: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 </w:t>
            </w: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«Поддержка местных инициатив, территориального общественного самоуправления и некоммерческих организаций в Мирненском сельском поселении на 2020-2022годы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2900000000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1412,800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Мероприятия в рамках программы «Поддержка местных инициатив в Мирненском сельском поселении на 2020-2022годы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29001SC650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1029,270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Софинансирование  местного бюджета на поддержку местных инициатив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2020-2022годы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29001SC65M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29001SC65M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29001SC65M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29001SC65M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Софинансирование  краевого бюджета на поддержку местных инициатив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2020-2022годы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29001SC65К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722,270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29001SC65К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722,270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29001SC65К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722,270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29001SC65К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722,270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Мероприятия в рамках программы «Территориального общественного самоуправления и некоммерческих организаций в Мирненском сельском поселении на 2020-2022 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290010И150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383,530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Развитие территориального общественного самоуправления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2020-2022 годы» (край)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290010И150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383,530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Премии и гранты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290010И150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383,530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Муниципальная программа «Профилактика правонарушений и противодействия преступности в Мирненском сельском поселении Хабаровского муниципального района Хабаровского рая на 2017 – 2020 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3100000000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Организационные мероприятия по обеспечению общественного порядка и противодействия преступности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3100000001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3100000001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3100000001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3100000001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Муниципальная программа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2018-2022годы»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3900000000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574,121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Софинансирование краевого бюджета  на благоустройство   дворовых территорий в населенных пунктах в рамках программы «Формирование современной городской среды на 2018-2022 годы на территории Мирненского сельского поселения» в рамках реализации приоритетного проекта «Формирование комфортной городской среды»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39002SC34K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397,860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39002SC34K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397,860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39002SC34K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397,860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39002SC34K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397,860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Софинансирование местного бюджета  на благоустройство   дворовых территорий в населенных пунктах в рамках программы «Формирование современной городской среды на 2018-2022 годы на территории Мирненского сельского поселения» в рамках реализации приоритетного проекта «Формирование комфортной городской среды»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39002SC34М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176,261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39002SC34М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176,261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39002SC34М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176,261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39002SC34М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176,261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 xml:space="preserve">Функционирование высшего должностного лица сельского поселения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7100000000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1081,403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Глава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7110000000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1081,403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1081,403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1081,403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826,276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6,800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248,327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Обеспечение функций аппарата управления администрации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7200000000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5922,539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Аппарат управления администрации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7220000000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5922,539</w:t>
            </w:r>
          </w:p>
        </w:tc>
      </w:tr>
      <w:tr>
        <w:trPr/>
        <w:tc>
          <w:tcPr/>
          <w:tbl>
            <w:tblPr>
              <w:bidiVisual w:val="off"/>
              <w:tblW w:w="0" w:type="auto"/>
              <w:jc w:val="left"/>
              <w:tblBorders>
                <w:top w:val="single" w:color="000000" w:sz="6" w:space="0"/>
                <w:left w:val="single" w:color="000000" w:sz="6" w:space="0"/>
                <w:bottom w:val="single" w:color="000000" w:sz="6" w:space="0"/>
                <w:right w:val="single" w:color="000000" w:sz="6" w:space="0"/>
                <w:insideH w:val="single" w:color="000000" w:sz="6" w:space="0"/>
                <w:insideV w:val="single" w:color="000000" w:sz="6" w:space="0"/>
              </w:tblBorders>
              <w:tblLayout w:type="fixed"/>
              <w:tblCellMar>
                <w:top w:w="10" w:type="dxa"/>
                <w:left w:w="10" w:type="dxa"/>
                <w:bottom w:w="10" w:type="dxa"/>
                <w:right w:w="10" w:type="dxa"/>
              </w:tblCellMar>
            </w:tblPr>
            <w:tblGrid>
              <w:gridCol w:w="360"/>
              <w:gridCol w:w="360"/>
            </w:tblGrid>
            <w:tr>
              <w:trPr>
                <w:wBefore w:w="0" w:type="dxa"/>
                <w:jc w:val="left"/>
              </w:trPr>
              <w:tc>
                <w:tcPr>
                  <w:cnfStyle w:val="100010000000"/>
                  <w:tcW w:w="0" w:type="auto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vAlign w:val="top"/>
                </w:tcPr>
                <w:p>
                  <w:pPr>
                    <w:framePr w:w="0" w:h="0" w:vAnchor="margin" w:hAnchor="text" w:x="0" w:y="0"/>
                    <w:pBdr>
                      <w:top w:val="none" w:sz="4" w:space="0"/>
                      <w:left w:val="none" w:sz="4" w:space="0"/>
                      <w:bottom w:val="none" w:sz="4" w:space="0"/>
                      <w:right w:val="none" w:sz="4" w:space="0"/>
                      <w:between w:val="none" w:sz="4" w:space="0"/>
                      <w:bar w:val="none" w:sz="4" w:space="0"/>
                    </w:pBdr>
                    <w:shd w:val="clear" w:fill="auto"/>
                    <w:bidi w:val="off"/>
                    <w:spacing w:before="0" w:after="0" w:line="240" w:lineRule="auto"/>
                    <w:ind w:left="0" w:right="0" w:firstLine="0"/>
                    <w:jc w:val="left"/>
                    <w:rPr>
                      <w:rFonts w:ascii="helvetica"/>
                      <w:color w:val="000000"/>
                      <w:sz w:val="24"/>
                      <w:lang w:val="en-US"/>
                    </w:rPr>
                  </w:pPr>
                </w:p>
              </w:tc>
              <w:tc>
                <w:tcPr>
                  <w:cnfStyle w:val="100001000000"/>
                  <w:tcW w:w="0" w:type="auto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vAlign w:val="top"/>
                </w:tcPr>
                <w:p>
                  <w:pPr>
                    <w:framePr w:w="0" w:h="0" w:vAnchor="margin" w:hAnchor="text" w:x="0" w:y="0"/>
                    <w:pBdr>
                      <w:top w:val="none" w:sz="4" w:space="0"/>
                      <w:left w:val="none" w:sz="4" w:space="0"/>
                      <w:bottom w:val="none" w:sz="4" w:space="0"/>
                      <w:right w:val="none" w:sz="4" w:space="0"/>
                      <w:between w:val="none" w:sz="4" w:space="0"/>
                      <w:bar w:val="none" w:sz="4" w:space="0"/>
                    </w:pBdr>
                    <w:shd w:val="clear" w:fill="auto"/>
                    <w:bidi w:val="off"/>
                    <w:spacing w:before="0" w:after="0" w:line="240" w:lineRule="auto"/>
                    <w:ind w:left="0" w:right="0" w:firstLine="0"/>
                    <w:jc w:val="both"/>
                    <w:rPr>
                      <w:rFonts w:ascii="helvetica"/>
                      <w:color w:val="000000"/>
                      <w:sz w:val="24"/>
                      <w:lang w:val="en-US"/>
                    </w:rPr>
                  </w:pPr>
                  <w:r>
                    <w:rPr>
                      <w:rFonts w:ascii="helvetica"/>
                      <w:b/>
                      <w:color w:val="000000"/>
                      <w:sz w:val="24"/>
                      <w:rtl w:val="off"/>
                      <w:lang w:val="en-US"/>
                    </w:rPr>
                    <w:t>Расходы на выплаты по оплате труда</w:t>
                  </w:r>
                </w:p>
                <w:p>
                  <w:pPr>
                    <w:framePr w:w="0" w:h="0" w:vAnchor="margin" w:hAnchor="text" w:x="0" w:y="0"/>
                    <w:pBdr>
                      <w:top w:val="none" w:sz="4" w:space="0"/>
                      <w:left w:val="none" w:sz="4" w:space="0"/>
                      <w:bottom w:val="none" w:sz="4" w:space="0"/>
                      <w:right w:val="none" w:sz="4" w:space="0"/>
                      <w:between w:val="none" w:sz="4" w:space="0"/>
                      <w:bar w:val="none" w:sz="4" w:space="0"/>
                    </w:pBdr>
                    <w:shd w:val="clear" w:fill="auto"/>
                    <w:bidi w:val="off"/>
                    <w:spacing w:before="0" w:after="0" w:line="240" w:lineRule="auto"/>
                    <w:ind w:left="0" w:right="0" w:firstLine="0"/>
                    <w:jc w:val="both"/>
                    <w:rPr>
                      <w:rFonts w:ascii="helvetica"/>
                      <w:color w:val="000000"/>
                      <w:sz w:val="24"/>
                      <w:lang w:val="en-US"/>
                    </w:rPr>
                  </w:pPr>
                  <w:r>
                    <w:rPr>
                      <w:rFonts w:ascii="helvetica"/>
                      <w:b/>
                      <w:color w:val="000000"/>
                      <w:sz w:val="24"/>
                      <w:rtl w:val="off"/>
                      <w:lang w:val="en-US"/>
                    </w:rPr>
                    <w:t xml:space="preserve"> работников органов</w:t>
                  </w:r>
                </w:p>
                <w:p>
                  <w:pPr>
                    <w:framePr w:w="0" w:h="0" w:vAnchor="margin" w:hAnchor="text" w:x="0" w:y="0"/>
                    <w:pBdr>
                      <w:top w:val="none" w:sz="4" w:space="0"/>
                      <w:left w:val="none" w:sz="4" w:space="0"/>
                      <w:bottom w:val="none" w:sz="4" w:space="0"/>
                      <w:right w:val="none" w:sz="4" w:space="0"/>
                      <w:between w:val="none" w:sz="4" w:space="0"/>
                      <w:bar w:val="none" w:sz="4" w:space="0"/>
                    </w:pBdr>
                    <w:shd w:val="clear" w:fill="auto"/>
                    <w:bidi w:val="off"/>
                    <w:spacing w:before="0" w:after="0" w:line="240" w:lineRule="auto"/>
                    <w:ind w:left="0" w:right="0" w:firstLine="0"/>
                    <w:jc w:val="both"/>
                    <w:rPr>
                      <w:rFonts w:ascii="helvetica"/>
                      <w:color w:val="000000"/>
                      <w:sz w:val="24"/>
                      <w:lang w:val="en-US"/>
                    </w:rPr>
                  </w:pPr>
                  <w:r>
                    <w:rPr>
                      <w:rFonts w:ascii="helvetica"/>
                      <w:b/>
                      <w:color w:val="000000"/>
                      <w:sz w:val="24"/>
                      <w:rtl w:val="off"/>
                      <w:lang w:val="en-US"/>
                    </w:rPr>
                    <w:t>местного самоуправления</w:t>
                  </w:r>
                </w:p>
              </w:tc>
            </w:tr>
          </w:tbl>
          <w:p>
            <w:pPr>
              <w:rPr/>
            </w:pP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80"/>
        <w:gridCol w:w="180"/>
        <w:gridCol w:w="180"/>
        <w:gridCol w:w="18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7220000001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4974,076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4974,076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3838,079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1135,997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Расходы на обеспечение функций органов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948,463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931,263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931,263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Закупки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255,000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Прочие закупки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676,263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17,200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17,200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851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Уплата прочих налогов сборов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852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2,700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853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13,500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Расходы на выполнение переданных государственных полномочий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7500000000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305,780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Закон Хабаровского края от 24.11.2010 № 49 «О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правонарушениях»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750000П320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 для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752000П320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752000П320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752000П320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Федеральный закон от 28.03.1998 № 53-ФЗ «О воинской обязанности и военной службе»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303,580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289,455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222,743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66,712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14,125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14,125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Закупки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0,570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13,555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Иные непрограммные расходы органов местного самоуправления поселения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11510,834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Обеспечение деятельности группы хозяйственного обслуживания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692,185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692,185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531,632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Фонд оплаты труда 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160,553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Обеспечение деятельности подведомственных учреждений в рамках непрограммных расходов органов местного самоуправления, муниципальных органов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3285,146</w:t>
            </w:r>
          </w:p>
        </w:tc>
      </w:tr>
      <w:tr>
        <w:trPr/>
        <w:tc>
          <w:tcPr/>
          <w:tbl>
            <w:tblPr>
              <w:bidiVisual w:val="off"/>
              <w:tblW w:w="0" w:type="auto"/>
              <w:jc w:val="left"/>
              <w:tblBorders>
                <w:top w:val="single" w:color="000000" w:sz="6" w:space="0"/>
                <w:left w:val="single" w:color="000000" w:sz="6" w:space="0"/>
                <w:bottom w:val="single" w:color="000000" w:sz="6" w:space="0"/>
                <w:right w:val="single" w:color="000000" w:sz="6" w:space="0"/>
                <w:insideH w:val="single" w:color="000000" w:sz="6" w:space="0"/>
                <w:insideV w:val="single" w:color="000000" w:sz="6" w:space="0"/>
              </w:tblBorders>
              <w:tblLayout w:type="fixed"/>
              <w:tblCellMar>
                <w:top w:w="10" w:type="dxa"/>
                <w:left w:w="10" w:type="dxa"/>
                <w:bottom w:w="10" w:type="dxa"/>
                <w:right w:w="10" w:type="dxa"/>
              </w:tblCellMar>
            </w:tblPr>
            <w:tblGrid>
              <w:gridCol w:w="360"/>
              <w:gridCol w:w="360"/>
            </w:tblGrid>
            <w:tr>
              <w:trPr>
                <w:wBefore w:w="0" w:type="dxa"/>
                <w:jc w:val="left"/>
              </w:trPr>
              <w:tc>
                <w:tcPr>
                  <w:cnfStyle w:val="100010000000"/>
                  <w:tcW w:w="0" w:type="auto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vAlign w:val="top"/>
                </w:tcPr>
                <w:p>
                  <w:pPr>
                    <w:framePr w:w="0" w:h="0" w:vAnchor="margin" w:hAnchor="text" w:x="0" w:y="0"/>
                    <w:pBdr>
                      <w:top w:val="none" w:sz="4" w:space="0"/>
                      <w:left w:val="none" w:sz="4" w:space="0"/>
                      <w:bottom w:val="none" w:sz="4" w:space="0"/>
                      <w:right w:val="none" w:sz="4" w:space="0"/>
                      <w:between w:val="none" w:sz="4" w:space="0"/>
                      <w:bar w:val="none" w:sz="4" w:space="0"/>
                    </w:pBdr>
                    <w:shd w:val="clear" w:fill="auto"/>
                    <w:bidi w:val="off"/>
                    <w:spacing w:before="0" w:after="0" w:line="240" w:lineRule="auto"/>
                    <w:ind w:left="0" w:right="0" w:firstLine="0"/>
                    <w:jc w:val="left"/>
                    <w:rPr>
                      <w:rFonts w:ascii="helvetica"/>
                      <w:color w:val="000000"/>
                      <w:sz w:val="24"/>
                      <w:lang w:val="en-US"/>
                    </w:rPr>
                  </w:pPr>
                </w:p>
              </w:tc>
              <w:tc>
                <w:tcPr>
                  <w:cnfStyle w:val="100001000000"/>
                  <w:tcW w:w="0" w:type="auto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vAlign w:val="top"/>
                </w:tcPr>
                <w:p>
                  <w:pPr>
                    <w:framePr w:w="0" w:h="0" w:vAnchor="margin" w:hAnchor="text" w:x="0" w:y="0"/>
                    <w:pBdr>
                      <w:top w:val="none" w:sz="4" w:space="0"/>
                      <w:left w:val="none" w:sz="4" w:space="0"/>
                      <w:bottom w:val="none" w:sz="4" w:space="0"/>
                      <w:right w:val="none" w:sz="4" w:space="0"/>
                      <w:between w:val="none" w:sz="4" w:space="0"/>
                      <w:bar w:val="none" w:sz="4" w:space="0"/>
                    </w:pBdr>
                    <w:shd w:val="clear" w:fill="auto"/>
                    <w:bidi w:val="off"/>
                    <w:spacing w:before="0" w:after="0" w:line="240" w:lineRule="auto"/>
                    <w:ind w:left="0" w:right="0" w:firstLine="0"/>
                    <w:jc w:val="both"/>
                    <w:rPr>
                      <w:rFonts w:ascii="helvetica"/>
                      <w:color w:val="000000"/>
                      <w:sz w:val="24"/>
                      <w:lang w:val="en-US"/>
                    </w:rPr>
                  </w:pPr>
                  <w:r>
                    <w:rPr>
                      <w:rFonts w:ascii="helvetica"/>
                      <w:color w:val="000000"/>
                      <w:sz w:val="24"/>
                      <w:rtl w:val="off"/>
                      <w:lang w:val="en-US"/>
                    </w:rPr>
                    <w:t xml:space="preserve">Расходы на выплаты персоналу в целях </w:t>
                  </w:r>
                </w:p>
                <w:p>
                  <w:pPr>
                    <w:framePr w:w="0" w:h="0" w:vAnchor="margin" w:hAnchor="text" w:x="0" w:y="0"/>
                    <w:pBdr>
                      <w:top w:val="none" w:sz="4" w:space="0"/>
                      <w:left w:val="none" w:sz="4" w:space="0"/>
                      <w:bottom w:val="none" w:sz="4" w:space="0"/>
                      <w:right w:val="none" w:sz="4" w:space="0"/>
                      <w:between w:val="none" w:sz="4" w:space="0"/>
                      <w:bar w:val="none" w:sz="4" w:space="0"/>
                    </w:pBdr>
                    <w:shd w:val="clear" w:fill="auto"/>
                    <w:bidi w:val="off"/>
                    <w:spacing w:before="0" w:after="0" w:line="240" w:lineRule="auto"/>
                    <w:ind w:left="0" w:right="0" w:firstLine="0"/>
                    <w:jc w:val="both"/>
                    <w:rPr>
                      <w:rFonts w:ascii="helvetica"/>
                      <w:color w:val="000000"/>
                      <w:sz w:val="24"/>
                      <w:lang w:val="en-US"/>
                    </w:rPr>
                  </w:pPr>
                  <w:r>
                    <w:rPr>
                      <w:rFonts w:ascii="helvetica"/>
                      <w:color w:val="000000"/>
                      <w:sz w:val="24"/>
                      <w:rtl w:val="off"/>
                      <w:lang w:val="en-US"/>
                    </w:rPr>
                    <w:t>обеспечения выполнения функций государстве-</w:t>
                  </w:r>
                </w:p>
                <w:p>
                  <w:pPr>
                    <w:framePr w:w="0" w:h="0" w:vAnchor="margin" w:hAnchor="text" w:x="0" w:y="0"/>
                    <w:pBdr>
                      <w:top w:val="none" w:sz="4" w:space="0"/>
                      <w:left w:val="none" w:sz="4" w:space="0"/>
                      <w:bottom w:val="none" w:sz="4" w:space="0"/>
                      <w:right w:val="none" w:sz="4" w:space="0"/>
                      <w:between w:val="none" w:sz="4" w:space="0"/>
                      <w:bar w:val="none" w:sz="4" w:space="0"/>
                    </w:pBdr>
                    <w:shd w:val="clear" w:fill="auto"/>
                    <w:bidi w:val="off"/>
                    <w:spacing w:before="0" w:after="0" w:line="240" w:lineRule="auto"/>
                    <w:ind w:left="0" w:right="0" w:firstLine="0"/>
                    <w:jc w:val="both"/>
                    <w:rPr>
                      <w:rFonts w:ascii="helvetica"/>
                      <w:color w:val="000000"/>
                      <w:sz w:val="24"/>
                      <w:lang w:val="en-US"/>
                    </w:rPr>
                  </w:pPr>
                  <w:r>
                    <w:rPr>
                      <w:rFonts w:ascii="helvetica"/>
                      <w:color w:val="000000"/>
                      <w:sz w:val="24"/>
                      <w:rtl w:val="off"/>
                      <w:lang w:val="en-US"/>
                    </w:rPr>
                    <w:t>нными (муниципальными) органами, казенными</w:t>
                  </w:r>
                </w:p>
                <w:p>
                  <w:pPr>
                    <w:framePr w:w="0" w:h="0" w:vAnchor="margin" w:hAnchor="text" w:x="0" w:y="0"/>
                    <w:pBdr>
                      <w:top w:val="none" w:sz="4" w:space="0"/>
                      <w:left w:val="none" w:sz="4" w:space="0"/>
                      <w:bottom w:val="none" w:sz="4" w:space="0"/>
                      <w:right w:val="none" w:sz="4" w:space="0"/>
                      <w:between w:val="none" w:sz="4" w:space="0"/>
                      <w:bar w:val="none" w:sz="4" w:space="0"/>
                    </w:pBdr>
                    <w:shd w:val="clear" w:fill="auto"/>
                    <w:bidi w:val="off"/>
                    <w:spacing w:before="0" w:after="0" w:line="240" w:lineRule="auto"/>
                    <w:ind w:left="0" w:right="0" w:firstLine="0"/>
                    <w:jc w:val="both"/>
                    <w:rPr>
                      <w:rFonts w:ascii="helvetica"/>
                      <w:color w:val="000000"/>
                      <w:sz w:val="24"/>
                      <w:lang w:val="en-US"/>
                    </w:rPr>
                  </w:pPr>
                  <w:r>
                    <w:rPr>
                      <w:rFonts w:ascii="helvetica"/>
                      <w:color w:val="000000"/>
                      <w:sz w:val="24"/>
                      <w:rtl w:val="off"/>
                      <w:lang w:val="en-US"/>
                    </w:rPr>
                    <w:t>учреждениями, органами управления</w:t>
                  </w:r>
                </w:p>
                <w:p>
                  <w:pPr>
                    <w:framePr w:w="0" w:h="0" w:vAnchor="margin" w:hAnchor="text" w:x="0" w:y="0"/>
                    <w:pBdr>
                      <w:top w:val="none" w:sz="4" w:space="0"/>
                      <w:left w:val="none" w:sz="4" w:space="0"/>
                      <w:bottom w:val="none" w:sz="4" w:space="0"/>
                      <w:right w:val="none" w:sz="4" w:space="0"/>
                      <w:between w:val="none" w:sz="4" w:space="0"/>
                      <w:bar w:val="none" w:sz="4" w:space="0"/>
                    </w:pBdr>
                    <w:shd w:val="clear" w:fill="auto"/>
                    <w:bidi w:val="off"/>
                    <w:spacing w:before="0" w:after="0" w:line="240" w:lineRule="auto"/>
                    <w:ind w:left="0" w:right="0" w:firstLine="0"/>
                    <w:jc w:val="both"/>
                    <w:rPr>
                      <w:rFonts w:ascii="helvetica"/>
                      <w:color w:val="000000"/>
                      <w:sz w:val="24"/>
                      <w:lang w:val="en-US"/>
                    </w:rPr>
                  </w:pPr>
                  <w:r>
                    <w:rPr>
                      <w:rFonts w:ascii="helvetica"/>
                      <w:color w:val="000000"/>
                      <w:sz w:val="24"/>
                      <w:rtl w:val="off"/>
                      <w:lang w:val="en-US"/>
                    </w:rPr>
                    <w:t>государственными внебюджетными фондами</w:t>
                  </w:r>
                </w:p>
              </w:tc>
            </w:tr>
          </w:tbl>
          <w:p>
            <w:pPr>
              <w:rPr/>
            </w:pP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80"/>
        <w:gridCol w:w="180"/>
        <w:gridCol w:w="180"/>
        <w:gridCol w:w="18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100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1816,200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1816,200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Фонд оплаты труда 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1394,780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Взносы по обязательному соц. страхованию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421,420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1460,946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Иная закупка товаров, работ и услуг для государственных 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1460,946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35,894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1425,052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851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853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Резервный фонд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Резервные средства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870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Мероприятия по землеустройству и землепользованию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9990000007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Доплаты к пенсиям  муниципальных служащих в рамках непрограммных расходов органов местного самоуправления  муниципальных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190,719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Социальное обеспечение и иные выплаты населению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190,719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190,719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190,719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Содержание и ремонт автомобильных дорог общего пользования в рамках непрограммных расходов органов местного самоуправления  муниципальных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3160,000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3160,000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3160,000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3160,000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Мероприятия по предупреждению и ликвидации последствий чрезвычайных ситуаций и стихийных бедствий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Мероприятия в области жилищного хозяйства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9990000016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114,739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9990000016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114,739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9990000016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114,739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9990000016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114,739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Мероприятия по организации уличного  освещения в рамках непрограммных 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472,345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472,345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472,345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472,345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Мероприятия по озеленению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34,500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34,500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34,500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34,500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Прочие мероприятия по благоустройству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1285,700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1285,700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1285,700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1285,700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Оценка недвижимости, признание прав и регулирование отношений по государственной собственности в рамках непрограммных расходов органов местного самоуправления поселения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9990000024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9990000024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9990000024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9990000024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 xml:space="preserve">Межбюджетные трансферты передаваемые бюджету муниципального района на осуществление части полномочий по решению вопросов местного значения в соответствии заключенных соглашений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9990000103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125,500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9990000103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500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125,500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9990000103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540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125,500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 (муниципальным)органами, казенными учреждениями, органами управления государственными 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99904SС02К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1045,000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99904SС02К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1045,000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Фонд оплаты труда 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99904SС02К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802,611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Взносы по обязательному соц. Страхованию на выплаты по оплате труда работников и иные выплаты работникам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99904SС02К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242,389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государственными(муниципальным)органами, казенными учреждениями, органами управления государственными 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99904SС02М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1045,000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99904SС02М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1045,000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Фонд оплаты труда 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99904SС02М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802,611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Взносы по обязательному соц. Страхованию на выплаты по оплате труда работников и иные выплаты работникам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99904SС02М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242,389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ИТОГО: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20892,664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1.4.Приложение №7 к решению Совета депутатов Мирненского сельского поселения читать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4359" w:right="0" w:firstLine="0"/>
        <w:jc w:val="lef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 xml:space="preserve">Приложение № 7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4359" w:right="0" w:firstLine="0"/>
        <w:jc w:val="lef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к решению Совета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4359" w:right="0" w:firstLine="0"/>
        <w:jc w:val="lef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 xml:space="preserve">Мирненского сельского поселения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4359" w:right="0" w:firstLine="0"/>
        <w:jc w:val="lef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 xml:space="preserve">Хабаровского муниципального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4359" w:right="0" w:firstLine="0"/>
        <w:jc w:val="lef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4359" w:right="0" w:firstLine="0"/>
        <w:jc w:val="lef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 xml:space="preserve">от 25.12.2019 № 13-51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Ведомственная структура расходов бюджета сельского поселения на 2020год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02"/>
        <w:gridCol w:w="103"/>
        <w:gridCol w:w="103"/>
        <w:gridCol w:w="103"/>
        <w:gridCol w:w="103"/>
        <w:gridCol w:w="103"/>
        <w:gridCol w:w="103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Наименование показателя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Гл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РЗ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ЦСР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ВР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Сумма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АДМИНИСТРАЦИЯ МИРНЕНСКОГО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15490,018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ОБЩЕГОСУДАРСТВЕННЫЕ ВОПРОСЫ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7184,142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 xml:space="preserve">Функционирование высшего должностного лица субъекта Российской федерации и муниципального образования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1081,403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Функционирование высшего должностного лица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7100000000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1081,403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Глава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1081,403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1081,403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1081,403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826,276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6,800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248,327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5954,739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Муниципальная программа «Предупреждение коррупции в Мирненском сельском поселении 2018-2020гг.»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2100000000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Организационное обеспечение предупреждения коррупции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2100000001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2100000001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2100000001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2100000001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Муниципальная  программа «Развитие муниципальной службы в администрации Мирненского сельского поселения Хабаровского муниципального района на 2018-2020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2400000000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Обеспечение рабочих мест муниципальных служащих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Обеспечение функций аппарата управления администрации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7200000000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5922,539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Аппарат управления администрации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7220000000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5922,539</w:t>
            </w:r>
          </w:p>
        </w:tc>
      </w:tr>
      <w:tr>
        <w:trPr/>
        <w:tc>
          <w:tcPr/>
          <w:tbl>
            <w:tblPr>
              <w:bidiVisual w:val="off"/>
              <w:tblW w:w="0" w:type="auto"/>
              <w:jc w:val="left"/>
              <w:tblBorders>
                <w:top w:val="single" w:color="000000" w:sz="6" w:space="0"/>
                <w:left w:val="single" w:color="000000" w:sz="6" w:space="0"/>
                <w:bottom w:val="single" w:color="000000" w:sz="6" w:space="0"/>
                <w:right w:val="single" w:color="000000" w:sz="6" w:space="0"/>
                <w:insideH w:val="single" w:color="000000" w:sz="6" w:space="0"/>
                <w:insideV w:val="single" w:color="000000" w:sz="6" w:space="0"/>
              </w:tblBorders>
              <w:tblLayout w:type="fixed"/>
              <w:tblCellMar>
                <w:top w:w="10" w:type="dxa"/>
                <w:left w:w="10" w:type="dxa"/>
                <w:bottom w:w="10" w:type="dxa"/>
                <w:right w:w="10" w:type="dxa"/>
              </w:tblCellMar>
            </w:tblPr>
            <w:tblGrid>
              <w:gridCol w:w="360"/>
              <w:gridCol w:w="360"/>
            </w:tblGrid>
            <w:tr>
              <w:trPr>
                <w:wBefore w:w="0" w:type="dxa"/>
                <w:jc w:val="left"/>
              </w:trPr>
              <w:tc>
                <w:tcPr>
                  <w:cnfStyle w:val="100010000000"/>
                  <w:tcW w:w="0" w:type="auto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vAlign w:val="top"/>
                </w:tcPr>
                <w:p>
                  <w:pPr>
                    <w:framePr w:w="0" w:h="0" w:vAnchor="margin" w:hAnchor="text" w:x="0" w:y="0"/>
                    <w:pBdr>
                      <w:top w:val="none" w:sz="4" w:space="0"/>
                      <w:left w:val="none" w:sz="4" w:space="0"/>
                      <w:bottom w:val="none" w:sz="4" w:space="0"/>
                      <w:right w:val="none" w:sz="4" w:space="0"/>
                      <w:between w:val="none" w:sz="4" w:space="0"/>
                      <w:bar w:val="none" w:sz="4" w:space="0"/>
                    </w:pBdr>
                    <w:shd w:val="clear" w:fill="auto"/>
                    <w:bidi w:val="off"/>
                    <w:spacing w:before="0" w:after="0" w:line="240" w:lineRule="auto"/>
                    <w:ind w:left="0" w:right="0" w:firstLine="0"/>
                    <w:jc w:val="left"/>
                    <w:rPr>
                      <w:rFonts w:ascii="helvetica"/>
                      <w:color w:val="000000"/>
                      <w:sz w:val="24"/>
                      <w:lang w:val="en-US"/>
                    </w:rPr>
                  </w:pPr>
                </w:p>
              </w:tc>
              <w:tc>
                <w:tcPr>
                  <w:cnfStyle w:val="100001000000"/>
                  <w:tcW w:w="0" w:type="auto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vAlign w:val="top"/>
                </w:tcPr>
                <w:p>
                  <w:pPr>
                    <w:framePr w:w="0" w:h="0" w:vAnchor="margin" w:hAnchor="text" w:x="0" w:y="0"/>
                    <w:pBdr>
                      <w:top w:val="none" w:sz="4" w:space="0"/>
                      <w:left w:val="none" w:sz="4" w:space="0"/>
                      <w:bottom w:val="none" w:sz="4" w:space="0"/>
                      <w:right w:val="none" w:sz="4" w:space="0"/>
                      <w:between w:val="none" w:sz="4" w:space="0"/>
                      <w:bar w:val="none" w:sz="4" w:space="0"/>
                    </w:pBdr>
                    <w:shd w:val="clear" w:fill="auto"/>
                    <w:bidi w:val="off"/>
                    <w:spacing w:before="0" w:after="0" w:line="240" w:lineRule="auto"/>
                    <w:ind w:left="0" w:right="0" w:firstLine="0"/>
                    <w:jc w:val="both"/>
                    <w:rPr>
                      <w:rFonts w:ascii="helvetica"/>
                      <w:color w:val="000000"/>
                      <w:sz w:val="24"/>
                      <w:lang w:val="en-US"/>
                    </w:rPr>
                  </w:pPr>
                  <w:r>
                    <w:rPr>
                      <w:rFonts w:ascii="helvetica"/>
                      <w:b/>
                      <w:color w:val="000000"/>
                      <w:sz w:val="24"/>
                      <w:rtl w:val="off"/>
                      <w:lang w:val="en-US"/>
                    </w:rPr>
                    <w:t xml:space="preserve">Расходы на выплаты по оплате труда </w:t>
                  </w:r>
                </w:p>
                <w:p>
                  <w:pPr>
                    <w:framePr w:w="0" w:h="0" w:vAnchor="margin" w:hAnchor="text" w:x="0" w:y="0"/>
                    <w:pBdr>
                      <w:top w:val="none" w:sz="4" w:space="0"/>
                      <w:left w:val="none" w:sz="4" w:space="0"/>
                      <w:bottom w:val="none" w:sz="4" w:space="0"/>
                      <w:right w:val="none" w:sz="4" w:space="0"/>
                      <w:between w:val="none" w:sz="4" w:space="0"/>
                      <w:bar w:val="none" w:sz="4" w:space="0"/>
                    </w:pBdr>
                    <w:shd w:val="clear" w:fill="auto"/>
                    <w:bidi w:val="off"/>
                    <w:spacing w:before="0" w:after="0" w:line="240" w:lineRule="auto"/>
                    <w:ind w:left="0" w:right="0" w:firstLine="0"/>
                    <w:jc w:val="both"/>
                    <w:rPr>
                      <w:rFonts w:ascii="helvetica"/>
                      <w:color w:val="000000"/>
                      <w:sz w:val="24"/>
                      <w:lang w:val="en-US"/>
                    </w:rPr>
                  </w:pPr>
                  <w:r>
                    <w:rPr>
                      <w:rFonts w:ascii="helvetica"/>
                      <w:b/>
                      <w:color w:val="000000"/>
                      <w:sz w:val="24"/>
                      <w:rtl w:val="off"/>
                      <w:lang w:val="en-US"/>
                    </w:rPr>
                    <w:t xml:space="preserve">работников органов  местного </w:t>
                  </w:r>
                </w:p>
                <w:p>
                  <w:pPr>
                    <w:framePr w:w="0" w:h="0" w:vAnchor="margin" w:hAnchor="text" w:x="0" w:y="0"/>
                    <w:pBdr>
                      <w:top w:val="none" w:sz="4" w:space="0"/>
                      <w:left w:val="none" w:sz="4" w:space="0"/>
                      <w:bottom w:val="none" w:sz="4" w:space="0"/>
                      <w:right w:val="none" w:sz="4" w:space="0"/>
                      <w:between w:val="none" w:sz="4" w:space="0"/>
                      <w:bar w:val="none" w:sz="4" w:space="0"/>
                    </w:pBdr>
                    <w:shd w:val="clear" w:fill="auto"/>
                    <w:bidi w:val="off"/>
                    <w:spacing w:before="0" w:after="0" w:line="240" w:lineRule="auto"/>
                    <w:ind w:left="0" w:right="0" w:firstLine="0"/>
                    <w:jc w:val="both"/>
                    <w:rPr>
                      <w:rFonts w:ascii="helvetica"/>
                      <w:color w:val="000000"/>
                      <w:sz w:val="24"/>
                      <w:lang w:val="en-US"/>
                    </w:rPr>
                  </w:pPr>
                  <w:r>
                    <w:rPr>
                      <w:rFonts w:ascii="helvetica"/>
                      <w:b/>
                      <w:color w:val="000000"/>
                      <w:sz w:val="24"/>
                      <w:rtl w:val="off"/>
                      <w:lang w:val="en-US"/>
                    </w:rPr>
                    <w:t>самоуправления</w:t>
                  </w:r>
                </w:p>
              </w:tc>
            </w:tr>
          </w:tbl>
          <w:p>
            <w:pPr>
              <w:rPr/>
            </w:pP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02"/>
        <w:gridCol w:w="103"/>
        <w:gridCol w:w="103"/>
        <w:gridCol w:w="103"/>
        <w:gridCol w:w="103"/>
        <w:gridCol w:w="103"/>
        <w:gridCol w:w="103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7220000001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4974,076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4974,076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3838,079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1135,997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Расходы на обеспечение функций органов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948,463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931,263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931,263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255,000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676,263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17,200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17,200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851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Уплата прочих налогов сборов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852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2,700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853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13,500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Расходы на выполнение переданных государственных полномочий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7500000000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Закон Хабаровского края от 24.11.2010 № 49 "О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правонарушениях"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750000П320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752000П320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752000П320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752000П320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 xml:space="preserve">Иные непрограммные расходы по передачи полномочий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Межбюджетные трансферты передаваемые бюджету муниципального района на осуществление части полномочий по решению вопросов местного значения в соответствии заключенными соглашениями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500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540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Резервные фонды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Резервный фонд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Резервные средства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870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 xml:space="preserve">Другие общегосударственные вопросы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Муниципальная программа «Доступная среда в Мирненском сельском поселении Хабаровского муниципального района Хабаровского края на 2020-2022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1300000000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Мероприятия по обеспечению беспрепятственного доступа к приоритетным объектам и услугам в приоритетных сферах жизнедеятельности инвалидов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1300000001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1300000001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1300000001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1300000001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Оценка недвижимости, признание прав и регулирование отношений по государственной собственности в рамках непрограммных расходов органов местного самоуправления поселения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9990000024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9990000024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9990000024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9990000024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Национальная оборона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303,580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Мобилизационная и вневойсковая подготовка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303,580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Расходы на выполнение переданных полномочий из краевого бюджет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7500000000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303,580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Федеральный закон от 28.03.1998 № 53-ФЗ «О воинской обязанности и военной службе»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303,580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289,455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222,743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66,712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14,125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14,125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0,570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13,555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Национальная безопасность и правоохранительная деятельность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Муниципальная программа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2019-2021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1600000000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Информационное обеспечение, противопожарная пропаганда и обучение мерам пожарной безопасности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1600000001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1600000001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1600000001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1600000001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Муниципальная программа «Безопасный город» Мирненского сельского поселения Хабаровского муниципального района Хабаровского края на 2018-2020 гг.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2710000000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Обеспечение мер по выявлению и пресечению противоправных действий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2710000010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2710000010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2710000010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2710000010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Муниципальная программа «Профилактика правонарушений и противодействия преступности в Мирненском сельском поселении Хабаровского муниципального района Хабаровского рая на 2017 – 2020 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3100000000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Организационные мероприятия по обеспечению общественного порядка и противодействия преступности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3100000001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3100000001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3100000001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3100000001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Иные непрограммные мероприятия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Мероприятия по предупреждению и ликвидации последствий чрезвычайных ситуаций и стихийных бедствий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9990000012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9990000012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9990000012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9990000012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Национальная экономика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3744,121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Дорожное хозяйство (дорожные фонды)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3734,121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3160,000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Муниципальная программа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2018-2022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3900000000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574,121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Софинансирование краевого бюджета  на благоустройство   дворовых территорий в населенных пунктах в рамках программы «Формирование современной городской среды на 2018-2022 годы на территории Мирненского сельского поселения» в рамках реализации приоритетного проекта «Формирование комфортной городской среды»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39002SC34K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397,860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39002SC34K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397,860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39002SC34K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397,860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39002SC34K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397,860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Софинансирование местного бюджета на благоустройство   дворовых территорий в населенных пунктах в рамках программы «Формирование современной городской среды на 2018-2022 годы на территории Мирненского сельского поселения» в рамках реализации приоритетного проекта «Формирование комфортной городской среды»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39002SC34М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176,261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39002SC34М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176,261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39002SC34М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176,261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39002SC34М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176,261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Содержание и ремонт автомобильных дорог общего пользования в рамках непрограммных расходов органов местного самоуправления  муниципальных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3160,000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3160,000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3160,000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3160,000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Другие вопросы в области национальной экономики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Мероприятия по землеустройству и землепользованию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Муниципальная программа «Развитие и поддержка малого и среднего предпринимательства в Мирненском сельском поселении Хабаровского муниципального района Хабаровского края на 2016 – 2020 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 Мероприятия по нормативно-правовому, аналитическому и организационному обеспечению малого и среднего предпринимательства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Жилищно-коммунальное хозяйство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3333,551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Жилищное хозяйство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114,739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Иные непрограммные 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114,739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Мероприятия в области жилищного хозяйства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9990000016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114,739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9990000016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114,739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9990000016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114,739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9990000016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114,739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Благоустройство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3218,812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1792,545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Мероприятия по организации уличного  освещения в рамках непрограммных 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472,345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472,345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472,345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472,345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Мероприятия по озеленению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34,500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34,500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34,500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34,500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Прочие мероприятия по благоустройству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1285,700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1285,700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1285,700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1285,700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Муниципальная программа энергосбережения и повышения энергетической эффективности на территории Мирненского сельского поселения Хабаровского муниципального района Хабаровского края на 2018-2020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0700000000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Мероприятия по энергосбережению и повышению энергетической эффективности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0700000001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0700000001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0700000001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0700000001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 xml:space="preserve">Муниципальная программа </w:t>
            </w: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 </w:t>
            </w: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«Поддержка местных инициатив, территориального общественного самоуправления и некоммерческих организаций в Мирненском сельском поселении на 2020-2022годы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2900000000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1426,267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Мероприятия в рамках программы «Поддержка местных инициатив в Мирненском сельском поселении на 2020-2022годы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29001SC650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1042,737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Софинансирование  местного бюджета на поддержку местных инициатив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2020-2022 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29001SC65M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320,467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29001SC65M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320,467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29001SC65M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320,467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29001SC65M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320,467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Софинансирование  краевого бюджета на поддержку местных инициатив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2020-2022 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29001SC65К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722,270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29001SC65К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722,270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29001SC65К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722,270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29001SC65К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722,270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Мероприятия в рамках программы «Территориального общественного самоуправления и некоммерческих организаций в Мирненском сельском поселении на 2020-2022 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290010И150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383,530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Развитие территориального общественного самоуправления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2020-2022 годы» (край)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290010И150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383,530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Премии и гранты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290010И150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383,530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Муниципальная  программа «Развитие муниципальной службы в администрации Мирненского сельского поселения Хабаровского муниципального района на 2018-2020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24001SС310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41,720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Повышение квалификации  муниципальных служащих в рамках программы «Развитие муниципальной службы в администрации Мирненского сельского поселения Хабаровского муниципального района на 2018-2020 годы» краевые средства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24001SС31К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21,720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24001SС31К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21,720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24001SС31К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21,720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24001SС31К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21,720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Повышение квалификации  муниципальных служащих в рамках программы «Развитие муниципальной службы в администрации Мирненского сельского поселения Хабаровского муниципального района на 2018-2020 годы» собственные средства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24001SС31М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24001SС31М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24001SС31М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24001SС31М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Другие вопросы в области культуры, кинематографии" классификации расходов бюджетов подлежат отражению расходы на обеспечение деятельности органов исполнительной власти Российской Федерации, субъектов Российской Федерации и органов местного самоуправления, учреждений, осуществляющих руководство, управление в сфере культуры, кинематографии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692,185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Непрограммные расходы органов местного самоуправления поселения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692,185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Иные непрограммные расходы органов местного самоуправления поселения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692,185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Обеспечение деятельности группы хозяйственного обслуживания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692,185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692,185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692,185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Фонд оплаты труда 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531,632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Взносы по обязательному соц. страхованию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160,553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Социальная политика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190,719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Пенсионное обеспечение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190,719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Иные непрограммные расходы Иные непрограммные расходы органов местного самоуправления поселения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190,719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Доплаты к пенсиям  муниципальных служащих в рамках непрограммных расходов органов местного самоуправления  муниципальных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190,719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Социальное обеспечение и иные выплаты населению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190,719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190,719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190,719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МКУК «КУЛЬТУРНО-ДОСУГОВЫЙ ЦЕНТР» АДМИНИСТРАЦИИ МИРНЕНСКОГО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5402,646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Культура, кинематография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5375,146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Культура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5375,146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Иные непрограммные расходы органов местного самоуправления поселения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5375,146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Обеспечение деятельности подведомственных учреждений в рамках непрограммных расходов органов местного самоуправления, муниципальных органов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3285,146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1816,200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1816,200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Фонд оплаты труда 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1394,780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Взносы по обязательному соц. страхованию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421,420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1460,946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1460,946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35,894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1425,052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851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853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 xml:space="preserve">Иные непрограммные расходы по передачи полномочий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27,500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Межбюджетные трансферты передаваемые бюджету муниципального района на осуществление части полномочий по решению вопросов местного значения в соответствии заключенными соглашениями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27,500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500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27,500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540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27,500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 (муниципальным)органами, казенными учреждениями, органами управления государственными 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99904SС02К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1045,000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99904SС02К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1045,000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Фонд оплаты труда 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99904SС02К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802,611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Взносы по обязательному соц. Страхованию на выплаты по оплате труда работников и иные выплаты работникам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99904SС02К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242,389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99904SС02М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1045,000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99904SС02М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1045,000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Фонд оплаты труда 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99904SС02М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802,611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Взносы по обязательному соц. Страхованию на выплаты по оплате труда работников и иные выплаты работникам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99904SС02М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242,389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Муниципальная программа «Развитие отрасли культуры в Мирненском сельском поселении Хабаровского муниципального района Хабаровского края на 2018-2020 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1400000000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Мероприятия в рамках муниципальной программы «Развитие отрасли культуры в Мирненском сельском поселении Хабаровского муниципального района Хабаровского края на 2018-2020гг.» поддержка и развитие материально-технической базы отрасли культуры.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1400100004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1400100004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1400100004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1400100004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ИТОГО: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20892,664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1.5.Приложение № 10 к решению Совета депутатов Мирненского сельского поселения читать в следующей редакции: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360"/>
        <w:gridCol w:w="36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«Приложение № 10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к решению Совета депутатов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Мирненского сельского поселения 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от 25.12.2019 № 13-51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Источники внутреннего финансирования дефицита бюджета сельского поселения на 2020 год и на плановый период 2021 и 2022 годов.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20"/>
        <w:gridCol w:w="120"/>
        <w:gridCol w:w="120"/>
        <w:gridCol w:w="120"/>
        <w:gridCol w:w="120"/>
        <w:gridCol w:w="12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Код главного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администратора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Код  классификации источников  внутреннего финансирования дефицита бюджета поселения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Наименование  главного администратора доходов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Виды (подвиды) доходов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2020 год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2021 год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2022 год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0100 0000 00 0000 000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Источники внутреннего финансирования дефицита бюджета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2 825,595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504,540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572,400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0105 0000 00 0000 000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Изменение остатков средств на счетах по учёту средств бюджета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2 825,595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504,540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572,400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0105 0201 00 0000 510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Увеличение прочих остатков денежных средств бюджетов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-18 067,069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-14 801,397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-15 043,345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0105 0201 10 0000 510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Увеличение прочих остатков денежных средств бюджетов поселений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-18 067,069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-14 801,397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-15 043,345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0105 0201 00 0000 610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Уменьшение прочих остатков денежных средств бюджетов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20 892,664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15 305,937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15 615,745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0105 0201 10 0000 610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Уменьшение прочих остатков денежных средств бюджетов поселений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20 892,664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15 305,937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15 615,745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 xml:space="preserve">Председатель Совета депутатов                                             О.А.Ленкина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Глава сельского поселения               А.В. Куприенко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