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4"/>
        <w:tblW w:type="auto" w:w="0"/>
        <w:tblInd w:type="dxa" w:w="28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left w:type="dxa" w:w="0"/>
          <w:right w:type="dxa" w:w="0"/>
        </w:tblCellMar>
      </w:tblPr>
      <w:tblGrid>
        <w:gridCol w:w="256"/>
        <w:gridCol w:w="283"/>
        <w:gridCol w:w="1985"/>
        <w:gridCol w:w="283"/>
        <w:gridCol w:w="993"/>
        <w:gridCol w:w="992"/>
        <w:gridCol w:w="425"/>
        <w:gridCol w:w="4111"/>
      </w:tblGrid>
      <w:tr>
        <w:trPr>
          <w:trHeight w:hRule="exact" w:val="1708"/>
        </w:trPr>
        <w:tc>
          <w:tcPr>
            <w:tcW w:type="dxa" w:w="25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6000000">
            <w:pPr>
              <w:widowControl w:val="1"/>
              <w:ind/>
              <w:jc w:val="right"/>
              <w:rPr>
                <w:sz w:val="18"/>
              </w:rPr>
            </w:pPr>
          </w:p>
        </w:tc>
        <w:tc>
          <w:tcPr>
            <w:tcW w:type="dxa" w:w="3544"/>
            <w:gridSpan w:val="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07000000">
            <w:pPr>
              <w:widowControl w:val="1"/>
              <w:ind/>
              <w:jc w:val="center"/>
              <w:rPr>
                <w:color w:themeColor="background1" w:themeShade="BF" w:val="BFBFBF"/>
                <w:sz w:val="18"/>
              </w:rPr>
            </w:pPr>
            <w:bookmarkStart w:id="3" w:name="STAMPCORNER"/>
            <w:r>
              <w:rPr>
                <w:color w:themeColor="background1" w:themeShade="BF" w:val="BFBFBF"/>
                <w:sz w:val="18"/>
              </w:rPr>
              <w:t>место для углового штампа</w:t>
            </w:r>
            <w:bookmarkEnd w:id="3"/>
          </w:p>
          <w:p w14:paraId="08000000">
            <w:pPr>
              <w:rPr>
                <w:sz w:val="18"/>
              </w:rPr>
            </w:pPr>
          </w:p>
        </w:tc>
        <w:tc>
          <w:tcPr>
            <w:tcW w:type="dxa" w:w="1417"/>
            <w:gridSpan w:val="2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 w14:paraId="09000000">
            <w:pPr>
              <w:widowControl w:val="1"/>
              <w:ind/>
              <w:jc w:val="center"/>
            </w:pPr>
          </w:p>
        </w:tc>
        <w:tc>
          <w:tcPr>
            <w:tcW w:type="dxa" w:w="411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 w14:paraId="0A000000">
            <w:pPr>
              <w:widowControl w:val="1"/>
              <w:spacing w:before="240"/>
              <w:ind/>
            </w:pPr>
          </w:p>
          <w:p w14:paraId="0B000000">
            <w:pPr>
              <w:widowControl w:val="1"/>
              <w:spacing w:before="240" w:line="240" w:lineRule="exact"/>
              <w:ind/>
            </w:pPr>
            <w:r>
              <w:t xml:space="preserve">Главам муниципальных образований </w:t>
            </w:r>
            <w:r>
              <w:t xml:space="preserve">Хабаровского муниципального района Хабаровского края </w:t>
            </w:r>
            <w:r>
              <w:br/>
            </w:r>
            <w:r>
              <w:t>(по списку)</w:t>
            </w:r>
          </w:p>
        </w:tc>
      </w:tr>
      <w:tr>
        <w:trPr>
          <w:trHeight w:hRule="exact" w:val="1690"/>
        </w:trPr>
        <w:tc>
          <w:tcPr>
            <w:tcW w:type="dxa" w:w="3800"/>
            <w:gridSpan w:val="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 w14:paraId="0C000000">
            <w:pPr>
              <w:widowControl w:val="1"/>
              <w:spacing w:line="20" w:lineRule="exact"/>
              <w:ind w:left="-170"/>
              <w:jc w:val="center"/>
              <w:rPr>
                <w:sz w:val="6"/>
              </w:rPr>
            </w:pPr>
          </w:p>
          <w:p w14:paraId="0D000000">
            <w:pPr>
              <w:widowControl w:val="1"/>
              <w:spacing w:line="120" w:lineRule="exact"/>
              <w:ind w:left="-170"/>
              <w:jc w:val="center"/>
              <w:rPr>
                <w:b w:val="1"/>
                <w:sz w:val="10"/>
              </w:rPr>
            </w:pPr>
          </w:p>
          <w:p w14:paraId="0E000000">
            <w:pPr>
              <w:widowControl w:val="1"/>
              <w:spacing w:after="120" w:line="160" w:lineRule="exact"/>
              <w:ind w:left="-170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Прокуратура</w:t>
            </w:r>
            <w:r>
              <w:rPr>
                <w:b w:val="1"/>
                <w:sz w:val="20"/>
              </w:rPr>
              <w:t xml:space="preserve"> </w:t>
            </w:r>
            <w:r>
              <w:rPr>
                <w:b w:val="1"/>
                <w:sz w:val="20"/>
              </w:rPr>
              <w:t>Хабаровского</w:t>
            </w:r>
            <w:r>
              <w:rPr>
                <w:b w:val="1"/>
                <w:sz w:val="20"/>
              </w:rPr>
              <w:t xml:space="preserve"> района</w:t>
            </w:r>
          </w:p>
          <w:p w14:paraId="0F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color w:themeColor="text1" w:val="000000"/>
                <w:sz w:val="18"/>
              </w:rPr>
              <w:t>Краснореченская ул., д. 70а</w:t>
            </w:r>
            <w:r>
              <w:rPr>
                <w:color w:themeColor="text1" w:val="000000"/>
                <w:sz w:val="18"/>
              </w:rPr>
              <w:t>, г. Хабаровск</w:t>
            </w:r>
            <w:r>
              <w:rPr>
                <w:sz w:val="18"/>
              </w:rPr>
              <w:t>,</w:t>
            </w:r>
          </w:p>
          <w:p w14:paraId="10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Хабаровский край, </w:t>
            </w:r>
            <w:r>
              <w:rPr>
                <w:color w:themeColor="text1" w:val="000000"/>
                <w:sz w:val="18"/>
              </w:rPr>
              <w:t>680003</w:t>
            </w:r>
          </w:p>
          <w:p w14:paraId="11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color w:themeColor="text1" w:val="000000"/>
                <w:sz w:val="18"/>
              </w:rPr>
              <w:t>тел. (4212) 51-20-87, факс (4212) 50-37-75</w:t>
            </w:r>
          </w:p>
          <w:p w14:paraId="12000000">
            <w:pPr>
              <w:widowControl w:val="1"/>
              <w:spacing w:line="160" w:lineRule="exact"/>
              <w:ind w:left="-170"/>
              <w:jc w:val="center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z w:val="18"/>
              </w:rPr>
              <w:t>-</w:t>
            </w:r>
            <w:r>
              <w:rPr>
                <w:sz w:val="18"/>
              </w:rPr>
              <w:t>mail</w:t>
            </w:r>
            <w:r>
              <w:rPr>
                <w:sz w:val="18"/>
              </w:rPr>
              <w:t>:</w:t>
            </w:r>
            <w:r>
              <w:rPr>
                <w:color w:themeColor="text1" w:val="000000"/>
                <w:sz w:val="18"/>
              </w:rPr>
              <w:t xml:space="preserve"> 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hbrn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.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phk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@181.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mailop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.</w:t>
            </w:r>
            <w:r>
              <w:rPr>
                <w:rStyle w:val="Style_5_ch"/>
                <w:color w:themeColor="text1" w:val="000000"/>
                <w:sz w:val="18"/>
                <w:u w:val="none"/>
              </w:rPr>
              <w:t>ru</w:t>
            </w:r>
          </w:p>
          <w:p w14:paraId="13000000">
            <w:pPr>
              <w:widowControl w:val="1"/>
              <w:spacing w:line="160" w:lineRule="exact"/>
              <w:ind w:left="-170"/>
              <w:jc w:val="center"/>
            </w:pPr>
            <w:r>
              <w:rPr>
                <w:sz w:val="18"/>
              </w:rPr>
              <w:t>https</w:t>
            </w:r>
            <w:r>
              <w:rPr>
                <w:sz w:val="18"/>
              </w:rPr>
              <w:t>://</w:t>
            </w:r>
            <w:r>
              <w:rPr>
                <w:sz w:val="18"/>
              </w:rPr>
              <w:t>epp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>genproc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>gov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t>ru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web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proc</w:t>
            </w:r>
            <w:r>
              <w:rPr>
                <w:sz w:val="18"/>
              </w:rPr>
              <w:t>_</w:t>
            </w:r>
            <w:r>
              <w:rPr>
                <w:sz w:val="18"/>
              </w:rPr>
              <w:t>27</w:t>
            </w:r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417"/>
        </w:trPr>
        <w:tc>
          <w:tcPr>
            <w:tcW w:type="dxa" w:w="3800"/>
            <w:gridSpan w:val="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4000000">
            <w:pPr>
              <w:rPr>
                <w:sz w:val="20"/>
              </w:rPr>
            </w:pPr>
            <w:bookmarkStart w:id="4" w:name="REGNUMDATESTAMP"/>
            <w:r>
              <w:rPr>
                <w:sz w:val="20"/>
              </w:rPr>
              <w:t>данные о регистрации (автоматически)</w:t>
            </w:r>
            <w:bookmarkEnd w:id="4"/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567"/>
        </w:trPr>
        <w:tc>
          <w:tcPr>
            <w:tcW w:type="dxa" w:w="539"/>
            <w:gridSpan w:val="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5000000">
            <w:pPr>
              <w:rPr>
                <w:sz w:val="20"/>
              </w:rPr>
            </w:pPr>
            <w:r>
              <w:rPr>
                <w:sz w:val="20"/>
              </w:rPr>
              <w:t>На №</w:t>
            </w:r>
          </w:p>
        </w:tc>
        <w:tc>
          <w:tcPr>
            <w:tcW w:type="dxa" w:w="198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600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28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7000000">
            <w:pPr>
              <w:widowControl w:val="1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от</w:t>
            </w:r>
          </w:p>
        </w:tc>
        <w:tc>
          <w:tcPr>
            <w:tcW w:type="dxa" w:w="99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18000000">
            <w:pPr>
              <w:widowControl w:val="1"/>
              <w:ind/>
              <w:jc w:val="center"/>
              <w:rPr>
                <w:sz w:val="20"/>
              </w:rPr>
            </w:pPr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143"/>
        </w:trPr>
        <w:tc>
          <w:tcPr>
            <w:tcW w:type="dxa" w:w="3800"/>
            <w:gridSpan w:val="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19000000">
            <w:pPr>
              <w:rPr>
                <w:sz w:val="18"/>
              </w:rPr>
            </w:pPr>
          </w:p>
        </w:tc>
        <w:tc>
          <w:tcPr>
            <w:tcW w:type="dxa" w:w="1417"/>
            <w:gridSpan w:val="2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11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c>
          <w:tcPr>
            <w:tcW w:type="dxa" w:w="4792"/>
            <w:gridSpan w:val="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1"/>
              <w:spacing w:line="240" w:lineRule="exact"/>
              <w:ind/>
              <w:rPr>
                <w:sz w:val="18"/>
              </w:rPr>
            </w:pPr>
            <w:r>
              <w:t>Информаци</w:t>
            </w:r>
            <w:r>
              <w:t xml:space="preserve">я </w:t>
            </w:r>
            <w:r>
              <w:t>д</w:t>
            </w:r>
            <w:r>
              <w:t xml:space="preserve">ля опубликования </w:t>
            </w:r>
            <w:r>
              <w:br/>
            </w:r>
            <w:r>
              <w:t>на</w:t>
            </w:r>
            <w:r>
              <w:t xml:space="preserve"> </w:t>
            </w:r>
            <w:r>
              <w:t>сайте</w:t>
            </w:r>
            <w:r>
              <w:t xml:space="preserve"> муниципального образования</w:t>
            </w:r>
          </w:p>
        </w:tc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1B000000">
            <w:pPr>
              <w:rPr>
                <w:sz w:val="18"/>
              </w:rPr>
            </w:pPr>
          </w:p>
        </w:tc>
        <w:tc>
          <w:tcPr>
            <w:tcW w:type="dxa" w:w="411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rPr>
                <w:sz w:val="18"/>
              </w:rPr>
            </w:pPr>
          </w:p>
        </w:tc>
      </w:tr>
      <w:tr>
        <w:tc>
          <w:tcPr>
            <w:tcW w:type="dxa" w:w="4792"/>
            <w:gridSpan w:val="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 w14:paraId="1D000000">
            <w:pPr>
              <w:widowControl w:val="1"/>
              <w:spacing w:line="240" w:lineRule="exact"/>
              <w:ind/>
            </w:pPr>
          </w:p>
        </w:tc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411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E000000">
      <w:pPr>
        <w:widowControl w:val="1"/>
        <w:ind w:firstLine="709"/>
        <w:jc w:val="both"/>
      </w:pPr>
    </w:p>
    <w:p w14:paraId="1F000000">
      <w:pPr>
        <w:widowControl w:val="1"/>
        <w:ind w:firstLine="709"/>
        <w:jc w:val="both"/>
      </w:pPr>
    </w:p>
    <w:p w14:paraId="20000000">
      <w:pPr>
        <w:widowControl w:val="1"/>
        <w:ind w:firstLine="709"/>
        <w:jc w:val="both"/>
      </w:pPr>
    </w:p>
    <w:p w14:paraId="21000000">
      <w:pPr>
        <w:widowControl w:val="1"/>
        <w:ind w:firstLine="709"/>
        <w:jc w:val="both"/>
      </w:pPr>
      <w:r>
        <w:t>Направляю Вам для опубликования на официальном сайте муниципального образования нижеприведенную информацию о разъяснении действующего законодательства в сфере противодействия коррупции.</w:t>
      </w:r>
    </w:p>
    <w:p w14:paraId="22000000">
      <w:pPr>
        <w:widowControl w:val="1"/>
        <w:ind w:firstLine="709"/>
        <w:jc w:val="both"/>
      </w:pPr>
      <w:r>
        <w:t xml:space="preserve">О результатах размещения информации прошу проинформировать прокуратуру района для исполнителя Потарской С.В., с указанием ссылки размещения информации на сайте, </w:t>
      </w:r>
      <w:r>
        <w:rPr>
          <w:b w:val="1"/>
        </w:rPr>
        <w:t xml:space="preserve">по возможности, не позднее </w:t>
      </w:r>
      <w:r>
        <w:rPr>
          <w:b w:val="1"/>
        </w:rPr>
        <w:t>19.06.</w:t>
      </w:r>
      <w:r>
        <w:rPr>
          <w:b w:val="1"/>
        </w:rPr>
        <w:t xml:space="preserve">2026 </w:t>
      </w:r>
      <w:r>
        <w:rPr>
          <w:b w:val="1"/>
        </w:rPr>
        <w:br/>
      </w:r>
      <w:r>
        <w:t xml:space="preserve">по адресу электронной почты </w:t>
      </w:r>
      <w:r>
        <w:rPr>
          <w:b w:val="1"/>
          <w:sz w:val="28"/>
        </w:rPr>
        <w:t>hbrn.phk@181.mailop.ru</w:t>
      </w:r>
      <w:r>
        <w:t>.</w:t>
      </w:r>
    </w:p>
    <w:p w14:paraId="23000000">
      <w:pPr>
        <w:widowControl w:val="1"/>
        <w:ind w:firstLine="709"/>
        <w:jc w:val="both"/>
      </w:pPr>
    </w:p>
    <w:p w14:paraId="24000000">
      <w:pPr>
        <w:widowControl w:val="1"/>
        <w:ind/>
        <w:jc w:val="both"/>
      </w:pPr>
      <w:r>
        <w:t>Приложение: на 7</w:t>
      </w:r>
      <w:r>
        <w:t xml:space="preserve"> л.</w:t>
      </w:r>
    </w:p>
    <w:p w14:paraId="25000000">
      <w:pPr>
        <w:pStyle w:val="Style_6"/>
        <w:widowControl w:val="1"/>
        <w:ind w:firstLine="720" w:right="6"/>
        <w:jc w:val="both"/>
        <w:rPr>
          <w:sz w:val="28"/>
        </w:rPr>
      </w:pPr>
    </w:p>
    <w:p w14:paraId="26000000">
      <w:pPr>
        <w:pStyle w:val="Style_6"/>
        <w:widowControl w:val="1"/>
        <w:ind w:firstLine="720" w:right="6"/>
        <w:jc w:val="both"/>
        <w:rPr>
          <w:sz w:val="28"/>
        </w:rPr>
      </w:pPr>
    </w:p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395"/>
        <w:gridCol w:w="5103"/>
      </w:tblGrid>
      <w:tr>
        <w:tc>
          <w:tcPr>
            <w:tcW w:type="dxa" w:w="439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left w:type="dxa" w:w="0"/>
              <w:right w:type="dxa" w:w="0"/>
            </w:tcMar>
            <w:vAlign w:val="bottom"/>
          </w:tcPr>
          <w:p w14:paraId="27000000">
            <w:pPr>
              <w:widowControl w:val="1"/>
              <w:spacing w:line="240" w:lineRule="exact"/>
              <w:ind/>
            </w:pPr>
            <w:r>
              <w:t>П</w:t>
            </w:r>
            <w:r>
              <w:t xml:space="preserve">ервый заместитель </w:t>
            </w:r>
          </w:p>
          <w:p w14:paraId="28000000">
            <w:pPr>
              <w:widowControl w:val="1"/>
              <w:spacing w:line="240" w:lineRule="exact"/>
              <w:ind/>
            </w:pPr>
            <w:r>
              <w:t>п</w:t>
            </w:r>
            <w:r>
              <w:t>рокурор</w:t>
            </w:r>
            <w:r>
              <w:t>а</w:t>
            </w:r>
            <w:r>
              <w:t xml:space="preserve"> района</w:t>
            </w:r>
          </w:p>
        </w:tc>
        <w:tc>
          <w:tcPr>
            <w:tcW w:type="dxa" w:w="510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9000000">
            <w:pPr>
              <w:widowControl w:val="1"/>
              <w:spacing w:line="240" w:lineRule="exact"/>
              <w:ind w:left="-106"/>
              <w:jc w:val="right"/>
            </w:pPr>
            <w:bookmarkStart w:id="5" w:name="SIGNERNAME1"/>
            <w:bookmarkEnd w:id="5"/>
          </w:p>
        </w:tc>
      </w:tr>
    </w:tbl>
    <w:p w14:paraId="2A000000">
      <w:pPr>
        <w:widowControl w:val="1"/>
        <w:ind w:left="3685"/>
        <w:rPr>
          <w:color w:themeColor="background1" w:themeShade="D9" w:val="D9D9D9"/>
        </w:rPr>
      </w:pPr>
      <w:bookmarkStart w:id="6" w:name="SIGNERSTAMP1"/>
      <w:r>
        <w:rPr>
          <w:color w:themeColor="background1" w:themeShade="D9" w:val="D9D9D9"/>
        </w:rPr>
        <w:t>штамп подписи</w:t>
      </w:r>
      <w:bookmarkEnd w:id="6"/>
    </w:p>
    <w:p w14:paraId="2B000000">
      <w:pPr>
        <w:rPr>
          <w:sz w:val="22"/>
        </w:rPr>
      </w:pPr>
    </w:p>
    <w:p w14:paraId="2C000000">
      <w:pPr>
        <w:rPr>
          <w:sz w:val="22"/>
        </w:rPr>
      </w:pPr>
    </w:p>
    <w:p w14:paraId="2D000000">
      <w:pPr>
        <w:rPr>
          <w:sz w:val="22"/>
        </w:rPr>
      </w:pPr>
    </w:p>
    <w:p w14:paraId="2E000000">
      <w:pPr>
        <w:rPr>
          <w:sz w:val="22"/>
        </w:rPr>
      </w:pPr>
    </w:p>
    <w:p w14:paraId="2F000000">
      <w:pPr>
        <w:rPr>
          <w:sz w:val="22"/>
        </w:rPr>
      </w:pPr>
    </w:p>
    <w:p w14:paraId="30000000">
      <w:pPr>
        <w:rPr>
          <w:sz w:val="22"/>
        </w:rPr>
      </w:pPr>
    </w:p>
    <w:p w14:paraId="31000000">
      <w:pPr>
        <w:rPr>
          <w:sz w:val="22"/>
        </w:rPr>
      </w:pPr>
    </w:p>
    <w:p w14:paraId="32000000">
      <w:pPr>
        <w:rPr>
          <w:sz w:val="22"/>
        </w:rPr>
      </w:pPr>
    </w:p>
    <w:p w14:paraId="33000000">
      <w:pPr>
        <w:rPr>
          <w:sz w:val="22"/>
        </w:rPr>
      </w:pPr>
    </w:p>
    <w:p w14:paraId="34000000">
      <w:pPr>
        <w:rPr>
          <w:sz w:val="22"/>
        </w:rPr>
      </w:pPr>
    </w:p>
    <w:p w14:paraId="35000000">
      <w:pPr>
        <w:rPr>
          <w:sz w:val="22"/>
        </w:rPr>
      </w:pPr>
    </w:p>
    <w:p w14:paraId="36000000">
      <w:pPr>
        <w:rPr>
          <w:sz w:val="22"/>
        </w:rPr>
      </w:pPr>
    </w:p>
    <w:p w14:paraId="37000000">
      <w:pPr>
        <w:rPr>
          <w:sz w:val="22"/>
        </w:rPr>
      </w:pPr>
    </w:p>
    <w:p w14:paraId="38000000">
      <w:pPr>
        <w:rPr>
          <w:sz w:val="22"/>
        </w:rPr>
      </w:pPr>
    </w:p>
    <w:p w14:paraId="39000000">
      <w:pPr>
        <w:rPr>
          <w:sz w:val="22"/>
        </w:rPr>
      </w:pPr>
    </w:p>
    <w:p w14:paraId="3A000000">
      <w:pPr>
        <w:rPr>
          <w:sz w:val="22"/>
        </w:rPr>
      </w:pPr>
      <w:r>
        <w:rPr>
          <w:sz w:val="22"/>
        </w:rPr>
        <w:t>С.В. Потарская</w:t>
      </w:r>
      <w:r>
        <w:rPr>
          <w:sz w:val="22"/>
        </w:rPr>
        <w:br w:type="page"/>
      </w:r>
    </w:p>
    <w:p w14:paraId="3B000000">
      <w:pPr>
        <w:widowControl w:val="1"/>
        <w:spacing w:line="240" w:lineRule="exact"/>
        <w:ind/>
        <w:jc w:val="right"/>
      </w:pPr>
      <w:r>
        <w:t>Приложение</w:t>
      </w:r>
    </w:p>
    <w:p w14:paraId="3C000000">
      <w:pPr>
        <w:widowControl w:val="1"/>
        <w:spacing w:line="240" w:lineRule="exact"/>
        <w:ind/>
        <w:rPr>
          <w:sz w:val="22"/>
        </w:rPr>
      </w:pPr>
    </w:p>
    <w:p w14:paraId="3D000000">
      <w:pPr>
        <w:pStyle w:val="Style_7"/>
        <w:widowControl w:val="1"/>
        <w:spacing w:line="240" w:lineRule="exact"/>
        <w:ind w:firstLine="540"/>
        <w:jc w:val="center"/>
        <w:rPr>
          <w:b w:val="1"/>
          <w:color w:val="000000"/>
        </w:rPr>
      </w:pPr>
      <w:r>
        <w:rPr>
          <w:b w:val="1"/>
          <w:sz w:val="26"/>
        </w:rPr>
        <w:t xml:space="preserve">Предоставление сведений о расходах муниципальными служащими </w:t>
      </w:r>
    </w:p>
    <w:p w14:paraId="3E000000">
      <w:pPr>
        <w:widowControl w:val="1"/>
        <w:spacing w:line="240" w:lineRule="exact"/>
        <w:ind w:firstLine="709"/>
        <w:jc w:val="both"/>
        <w:rPr>
          <w:sz w:val="26"/>
        </w:rPr>
      </w:pPr>
    </w:p>
    <w:p w14:paraId="3F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Сведения о расходах муниципальных служащих предоставляются в рамках антикоррупционного законодательства Российской Федерации. Порядок предоставления этих сведений строго регламентирован.</w:t>
      </w:r>
    </w:p>
    <w:p w14:paraId="40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Обязанность предоставлять указанные сведения распространяется на </w:t>
      </w:r>
      <w:r>
        <w:rPr>
          <w:rFonts w:ascii="Times New Roman" w:hAnsi="Times New Roman"/>
          <w:b w:val="0"/>
          <w:sz w:val="28"/>
        </w:rPr>
        <w:t>муниципальных служащих</w:t>
      </w:r>
    </w:p>
    <w:p w14:paraId="41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Сведения о расходах подаются не всегда, а только при наличии правовых оснований - если в отчетном периоде служащий, его супруг(а) или несовершеннолетние дети совершили сделку по приобретению определённого имущества: з</w:t>
      </w:r>
      <w:r>
        <w:rPr>
          <w:rFonts w:ascii="Times New Roman" w:hAnsi="Times New Roman"/>
          <w:b w:val="0"/>
          <w:sz w:val="28"/>
        </w:rPr>
        <w:t>емельный участок, о</w:t>
      </w:r>
      <w:r>
        <w:rPr>
          <w:rFonts w:ascii="Times New Roman" w:hAnsi="Times New Roman"/>
          <w:b w:val="0"/>
          <w:sz w:val="28"/>
        </w:rPr>
        <w:t>бъект недвижимости, т</w:t>
      </w:r>
      <w:r>
        <w:rPr>
          <w:rFonts w:ascii="Times New Roman" w:hAnsi="Times New Roman"/>
          <w:b w:val="0"/>
          <w:sz w:val="28"/>
        </w:rPr>
        <w:t>ранспортное средство, ц</w:t>
      </w:r>
      <w:r>
        <w:rPr>
          <w:rFonts w:ascii="Times New Roman" w:hAnsi="Times New Roman"/>
          <w:b w:val="0"/>
          <w:sz w:val="28"/>
        </w:rPr>
        <w:t>енные бумаги (доли участия, паи), ц</w:t>
      </w:r>
      <w:r>
        <w:rPr>
          <w:rFonts w:ascii="Times New Roman" w:hAnsi="Times New Roman"/>
          <w:b w:val="0"/>
          <w:sz w:val="28"/>
        </w:rPr>
        <w:t>ифровые финансовые активы, ц</w:t>
      </w:r>
      <w:r>
        <w:rPr>
          <w:rFonts w:ascii="Times New Roman" w:hAnsi="Times New Roman"/>
          <w:b w:val="0"/>
          <w:sz w:val="28"/>
        </w:rPr>
        <w:t>ифровая валюта.</w:t>
      </w:r>
    </w:p>
    <w:p w14:paraId="42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При этом сумма такой сделки (или общая сумма нескольких сделок за год) должна превышать совокупный доход самого служащего, его супруги (супруга) и несовершеннолетних детей за три последних года, предшествующих году совершения </w:t>
      </w:r>
      <w:r>
        <w:rPr>
          <w:rFonts w:ascii="Times New Roman" w:hAnsi="Times New Roman"/>
          <w:b w:val="0"/>
          <w:sz w:val="28"/>
        </w:rPr>
        <w:t>сделки</w:t>
      </w:r>
      <w:r>
        <w:rPr>
          <w:rFonts w:ascii="Times New Roman" w:hAnsi="Times New Roman"/>
          <w:b w:val="0"/>
          <w:sz w:val="28"/>
        </w:rPr>
        <w:t>.</w:t>
      </w:r>
    </w:p>
    <w:p w14:paraId="43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Сведения о расходах не представляются, если имущество получено: в</w:t>
      </w:r>
      <w:r>
        <w:rPr>
          <w:rFonts w:ascii="Times New Roman" w:hAnsi="Times New Roman"/>
          <w:b w:val="0"/>
          <w:sz w:val="28"/>
        </w:rPr>
        <w:t xml:space="preserve"> порядке наследования или дарения (безвозмездные сделки); в</w:t>
      </w:r>
      <w:r>
        <w:rPr>
          <w:rFonts w:ascii="Times New Roman" w:hAnsi="Times New Roman"/>
          <w:b w:val="0"/>
          <w:sz w:val="28"/>
        </w:rPr>
        <w:t xml:space="preserve"> результате </w:t>
      </w:r>
      <w:r>
        <w:rPr>
          <w:rFonts w:ascii="Times New Roman" w:hAnsi="Times New Roman"/>
          <w:b w:val="0"/>
          <w:sz w:val="28"/>
        </w:rPr>
        <w:t>майнинга</w:t>
      </w:r>
      <w:r>
        <w:rPr>
          <w:rFonts w:ascii="Times New Roman" w:hAnsi="Times New Roman"/>
          <w:b w:val="0"/>
          <w:sz w:val="28"/>
        </w:rPr>
        <w:t xml:space="preserve"> цифровой валюты; п</w:t>
      </w:r>
      <w:r>
        <w:rPr>
          <w:rFonts w:ascii="Times New Roman" w:hAnsi="Times New Roman"/>
          <w:b w:val="0"/>
          <w:sz w:val="28"/>
        </w:rPr>
        <w:t xml:space="preserve">утем государственной регистрации права собственности без сделки купли-продажи (например, возведение дома на своем участке). </w:t>
      </w:r>
      <w:r>
        <w:rPr>
          <w:rFonts w:ascii="Times New Roman" w:hAnsi="Times New Roman"/>
          <w:b w:val="0"/>
          <w:sz w:val="28"/>
        </w:rPr>
        <w:t xml:space="preserve">В таких случаях информация об имуществе отражается в соответствующих разделах справки о доходах, но отдельный блок о расходах не </w:t>
      </w:r>
      <w:r>
        <w:rPr>
          <w:rFonts w:ascii="Times New Roman" w:hAnsi="Times New Roman"/>
          <w:b w:val="0"/>
          <w:sz w:val="28"/>
        </w:rPr>
        <w:t>заполняется</w:t>
      </w:r>
      <w:r>
        <w:rPr>
          <w:rFonts w:ascii="Times New Roman" w:hAnsi="Times New Roman"/>
          <w:b w:val="0"/>
          <w:sz w:val="28"/>
        </w:rPr>
        <w:t>.</w:t>
      </w:r>
    </w:p>
    <w:p w14:paraId="44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Служащие представляют сведения ежегодно, не позднее 30 апреля года, следующего за отчетным годом, в котором возникли основания для декларирования расходов.</w:t>
      </w:r>
    </w:p>
    <w:p w14:paraId="45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Отчетный период для расчета дохода - три календарных года до года совершения сделки.</w:t>
      </w:r>
    </w:p>
    <w:p w14:paraId="46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Если сделка совершена совместно с другими лицами (общая собственность), сведения отражаются в справках всех участников покупки.</w:t>
      </w:r>
    </w:p>
    <w:p w14:paraId="47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Приобретение имущества с использованием государственных субсидий или ипотеки не освобождает от обязанности подавать сведения, если превышен порог по сумме </w:t>
      </w:r>
      <w:r>
        <w:rPr>
          <w:rFonts w:ascii="Times New Roman" w:hAnsi="Times New Roman"/>
          <w:b w:val="0"/>
          <w:sz w:val="28"/>
        </w:rPr>
        <w:t>сделки</w:t>
      </w:r>
      <w:r>
        <w:rPr>
          <w:rFonts w:ascii="Times New Roman" w:hAnsi="Times New Roman"/>
          <w:b w:val="0"/>
          <w:sz w:val="28"/>
        </w:rPr>
        <w:t>.</w:t>
      </w:r>
    </w:p>
    <w:p w14:paraId="48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справке необходимо указать: в</w:t>
      </w:r>
      <w:r>
        <w:rPr>
          <w:rFonts w:ascii="Times New Roman" w:hAnsi="Times New Roman"/>
          <w:b w:val="0"/>
          <w:sz w:val="28"/>
        </w:rPr>
        <w:t>ид приобретенного имущества (с адресом, площадью, маркой/моделью ТС и т.д.); с</w:t>
      </w:r>
      <w:r>
        <w:rPr>
          <w:rFonts w:ascii="Times New Roman" w:hAnsi="Times New Roman"/>
          <w:b w:val="0"/>
          <w:sz w:val="28"/>
        </w:rPr>
        <w:t>умму сделки в рублях (пересчет из иностранной валюты производится по курсу ЦБ РФ на дату сделки); и</w:t>
      </w:r>
      <w:r>
        <w:rPr>
          <w:rFonts w:ascii="Times New Roman" w:hAnsi="Times New Roman"/>
          <w:b w:val="0"/>
          <w:sz w:val="28"/>
        </w:rPr>
        <w:t>сточник получения средств (зарплата, наследство, заем и размер дохода по каждому источнику); р</w:t>
      </w:r>
      <w:r>
        <w:rPr>
          <w:rFonts w:ascii="Times New Roman" w:hAnsi="Times New Roman"/>
          <w:b w:val="0"/>
          <w:sz w:val="28"/>
        </w:rPr>
        <w:t xml:space="preserve">еквизиты документов - оснований (номер договора, выписки из ЕГРН, данные транзакции для </w:t>
      </w:r>
      <w:r>
        <w:rPr>
          <w:rFonts w:ascii="Times New Roman" w:hAnsi="Times New Roman"/>
          <w:b w:val="0"/>
          <w:sz w:val="28"/>
        </w:rPr>
        <w:t>криптовалюты</w:t>
      </w:r>
      <w:r>
        <w:rPr>
          <w:rFonts w:ascii="Times New Roman" w:hAnsi="Times New Roman"/>
          <w:b w:val="0"/>
          <w:sz w:val="28"/>
        </w:rPr>
        <w:t>). Копии подтверждающих документов прикладываются к справке.</w:t>
      </w:r>
    </w:p>
    <w:p w14:paraId="49000000">
      <w:pPr>
        <w:pStyle w:val="Style_7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Непредставление сведений, представление неполных или заведомо недостоверных данных является правонарушением и влечет увольнение со службы.</w:t>
      </w:r>
      <w:r>
        <w:br w:type="page"/>
      </w:r>
    </w:p>
    <w:p w14:paraId="4A000000">
      <w:pPr>
        <w:widowControl w:val="1"/>
        <w:spacing w:after="0" w:before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Запрет подарков на муниципальной службе</w:t>
      </w:r>
    </w:p>
    <w:p w14:paraId="4B000000">
      <w:pPr>
        <w:widowControl w:val="1"/>
        <w:spacing w:after="0" w:before="0" w:line="240" w:lineRule="auto"/>
        <w:ind w:firstLine="709"/>
        <w:jc w:val="center"/>
        <w:rPr>
          <w:rFonts w:ascii="Times New Roman" w:hAnsi="Times New Roman"/>
          <w:b w:val="0"/>
          <w:sz w:val="28"/>
        </w:rPr>
      </w:pPr>
    </w:p>
    <w:p w14:paraId="4C000000">
      <w:pPr>
        <w:pStyle w:val="Style_7"/>
        <w:widowControl w:val="1"/>
        <w:spacing w:after="18" w:line="247" w:lineRule="auto"/>
        <w:ind w:firstLine="695" w:left="14"/>
        <w:jc w:val="both"/>
      </w:pPr>
      <w:r>
        <w:t xml:space="preserve">На муниципальной службе действует строгий запрет на получение подарков в связи с исполнением должностных обязанностей. </w:t>
      </w:r>
    </w:p>
    <w:p w14:paraId="4D000000">
      <w:pPr>
        <w:pStyle w:val="Style_7"/>
        <w:widowControl w:val="1"/>
        <w:spacing w:after="18" w:line="247" w:lineRule="auto"/>
        <w:ind w:firstLine="695" w:left="14"/>
        <w:jc w:val="both"/>
      </w:pPr>
      <w:r>
        <w:t xml:space="preserve">Согласно статье 14 Федерального закона от 02.03.2007 № 25-ФЗ </w:t>
      </w:r>
      <w:r>
        <w:br/>
      </w:r>
      <w:r>
        <w:t xml:space="preserve">«О муниципальной службе в Российской Федерации», муниципальным служащим запрещено принимать любые вознаграждения (подарки, денежное вознаграждение, ссуды, услуги, оплату развлечений, транспортных расходов </w:t>
      </w:r>
      <w:r>
        <w:br/>
      </w:r>
      <w:r>
        <w:t xml:space="preserve">и т.д.) от физических и юридических лиц, если это связано с их должностным положением или выполнением служебных функций. </w:t>
      </w:r>
    </w:p>
    <w:p w14:paraId="4E000000">
      <w:pPr>
        <w:pStyle w:val="Style_7"/>
        <w:widowControl w:val="1"/>
        <w:spacing w:after="18" w:line="247" w:lineRule="auto"/>
        <w:ind w:firstLine="695" w:left="14"/>
        <w:jc w:val="both"/>
      </w:pPr>
      <w:r>
        <w:t>Это правило распространяется на все случаи, когда подарок может быть расценен как благодарность за действия, входящие в компетенцию служащего, либо как попытка повлиять на его решения.</w:t>
      </w:r>
    </w:p>
    <w:p w14:paraId="4F000000">
      <w:pPr>
        <w:pStyle w:val="Style_7"/>
        <w:widowControl w:val="1"/>
        <w:spacing w:after="18" w:line="247" w:lineRule="auto"/>
        <w:ind w:firstLine="695" w:left="14"/>
        <w:jc w:val="both"/>
      </w:pPr>
      <w:r>
        <w:t xml:space="preserve">Допускается получение подарков только в связи с протокольными </w:t>
      </w:r>
      <w:r>
        <w:t xml:space="preserve">мероприятиями, служебными командировками и другими официальными мероприятиями. </w:t>
      </w:r>
      <w:r>
        <w:t xml:space="preserve">Такие подарки признаются муниципальной собственностью и должны быть переданы по акту в орган местного самоуправления. Служащий может выкупить подарок по установленной процедуре. </w:t>
      </w:r>
    </w:p>
    <w:p w14:paraId="50000000">
      <w:pPr>
        <w:pStyle w:val="Style_7"/>
        <w:widowControl w:val="1"/>
        <w:spacing w:after="18" w:line="247" w:lineRule="auto"/>
        <w:ind w:firstLine="695" w:left="14"/>
        <w:jc w:val="both"/>
      </w:pPr>
      <w:r>
        <w:t xml:space="preserve">О получении любого подарка в указанных случаях необходимо уведомить уполномоченное подразделение органа местного самоуправления не позднее 3 рабочих дней со дня получения или возвращения из командировки. </w:t>
      </w:r>
    </w:p>
    <w:p w14:paraId="51000000">
      <w:pPr>
        <w:pStyle w:val="Style_7"/>
        <w:widowControl w:val="1"/>
        <w:spacing w:after="18" w:line="247" w:lineRule="auto"/>
        <w:ind w:firstLine="695" w:left="14"/>
        <w:jc w:val="both"/>
      </w:pPr>
      <w:r>
        <w:t>К уведомлению прикладываются документы, подтверждающие стоимость подарка (чеки и др.).</w:t>
      </w:r>
    </w:p>
    <w:p w14:paraId="52000000">
      <w:pPr>
        <w:pStyle w:val="Style_7"/>
        <w:widowControl w:val="1"/>
        <w:spacing w:after="18" w:line="247" w:lineRule="auto"/>
        <w:ind w:firstLine="695" w:left="14"/>
        <w:jc w:val="both"/>
      </w:pPr>
      <w:r>
        <w:t>Если стоимость подарка превышает 3000 рублей или неизвестна, подарок подлежит обязательной сдаче и оценке. Подарки стоимостью до 3000 рублей могут быть возвращены служащему по акту.</w:t>
      </w:r>
    </w:p>
    <w:p w14:paraId="53000000">
      <w:pPr>
        <w:pStyle w:val="Style_7"/>
        <w:widowControl w:val="1"/>
        <w:spacing w:after="18" w:line="247" w:lineRule="auto"/>
        <w:ind w:firstLine="695" w:left="14"/>
        <w:jc w:val="both"/>
      </w:pPr>
      <w:r>
        <w:t>До передачи подарка по акту ответственность за его сохранность несет служащий.</w:t>
      </w:r>
    </w:p>
    <w:p w14:paraId="54000000">
      <w:pPr>
        <w:pStyle w:val="Style_7"/>
        <w:widowControl w:val="1"/>
        <w:spacing w:after="18" w:line="247" w:lineRule="auto"/>
        <w:ind w:firstLine="695" w:left="14"/>
        <w:jc w:val="both"/>
      </w:pPr>
      <w:r>
        <w:t>Подарки, не выкупленные служащим, могут быть использованы муниципальным органом или реализованы через торги, а вырученные средства зачисляются в бюджет.</w:t>
      </w:r>
    </w:p>
    <w:p w14:paraId="55000000">
      <w:pPr>
        <w:pStyle w:val="Style_7"/>
        <w:widowControl w:val="1"/>
        <w:spacing w:after="18" w:line="247" w:lineRule="auto"/>
        <w:ind w:firstLine="695" w:left="14"/>
        <w:jc w:val="both"/>
      </w:pPr>
      <w:r>
        <w:t>Нарушение этих правил может повлечь дисциплинарную ответственность и быть расценено как конфликт интересов.</w:t>
      </w:r>
    </w:p>
    <w:p w14:paraId="56000000">
      <w:pPr>
        <w:pStyle w:val="Style_7"/>
        <w:widowControl w:val="1"/>
        <w:spacing w:after="18" w:line="247" w:lineRule="auto"/>
        <w:ind w:firstLine="695" w:left="14"/>
        <w:jc w:val="both"/>
      </w:pPr>
    </w:p>
    <w:p w14:paraId="57000000">
      <w:pPr>
        <w:pStyle w:val="Style_7"/>
        <w:widowControl w:val="1"/>
        <w:spacing w:after="18" w:line="247" w:lineRule="auto"/>
        <w:ind w:firstLine="695" w:left="14"/>
        <w:jc w:val="both"/>
      </w:pPr>
    </w:p>
    <w:p w14:paraId="58000000">
      <w:pPr>
        <w:pStyle w:val="Style_7"/>
        <w:widowControl w:val="1"/>
        <w:spacing w:after="18" w:line="247" w:lineRule="auto"/>
        <w:ind w:firstLine="695" w:left="14"/>
        <w:jc w:val="both"/>
      </w:pPr>
    </w:p>
    <w:p w14:paraId="59000000">
      <w:pPr>
        <w:pStyle w:val="Style_7"/>
        <w:widowControl w:val="1"/>
        <w:spacing w:after="18" w:line="247" w:lineRule="auto"/>
        <w:ind w:firstLine="695" w:left="14"/>
        <w:jc w:val="both"/>
      </w:pPr>
      <w:r>
        <w:br w:type="page"/>
      </w:r>
    </w:p>
    <w:p w14:paraId="5A000000">
      <w:pPr>
        <w:widowControl w:val="1"/>
        <w:ind w:firstLine="0"/>
        <w:jc w:val="center"/>
        <w:rPr>
          <w:b w:val="1"/>
        </w:rPr>
      </w:pPr>
      <w:r>
        <w:rPr>
          <w:b w:val="1"/>
        </w:rPr>
        <w:t>Запрет предпринимательской деятельности на муниципальной службе</w:t>
      </w:r>
    </w:p>
    <w:p w14:paraId="5B000000">
      <w:pPr>
        <w:widowControl w:val="1"/>
        <w:ind w:firstLine="851"/>
        <w:jc w:val="both"/>
      </w:pPr>
    </w:p>
    <w:p w14:paraId="5C000000">
      <w:pPr>
        <w:pStyle w:val="Style_7"/>
        <w:widowControl w:val="1"/>
        <w:ind w:firstLine="851"/>
        <w:jc w:val="both"/>
      </w:pPr>
      <w:r>
        <w:rPr>
          <w:rStyle w:val="Style_7_ch"/>
        </w:rPr>
        <w:t xml:space="preserve">Запрет на осуществление предпринимательской деятельности для муниципальных служащих закреплён в статьей 14 Федерального закона </w:t>
      </w:r>
      <w:r>
        <w:rPr>
          <w:rStyle w:val="Style_7_ch"/>
        </w:rPr>
        <w:br/>
      </w:r>
      <w:r>
        <w:rPr>
          <w:rStyle w:val="Style_7_ch"/>
        </w:rPr>
        <w:t xml:space="preserve">от 02.03.2007 </w:t>
      </w:r>
      <w:r>
        <w:rPr>
          <w:rStyle w:val="Style_7_ch"/>
        </w:rPr>
        <w:t>№ 25-ФЗ «О муниципальной службе в Российской Федерации».</w:t>
      </w:r>
    </w:p>
    <w:p w14:paraId="5D000000">
      <w:pPr>
        <w:pStyle w:val="Style_7"/>
        <w:widowControl w:val="1"/>
        <w:ind w:firstLine="851"/>
        <w:jc w:val="both"/>
      </w:pPr>
      <w:r>
        <w:rPr>
          <w:rStyle w:val="Style_7_ch"/>
        </w:rPr>
        <w:t xml:space="preserve"> Согласно этому закону, муниципальным служащим запрещено заниматься предпринимательской деятельностью лично или через доверенных лиц. Это ограничение распространяется на все виды предпринимательской деятельности, включая производство, реализацию или приобретение товаров, оказание услуг и выполнение работ с целью извлечения прибыли, а также владение и распоряжение имуществом, используемым в бизнесе.</w:t>
      </w:r>
    </w:p>
    <w:p w14:paraId="5E000000">
      <w:pPr>
        <w:pStyle w:val="Style_7"/>
        <w:widowControl w:val="1"/>
        <w:ind w:firstLine="851"/>
        <w:jc w:val="both"/>
      </w:pPr>
      <w:r>
        <w:rPr>
          <w:rStyle w:val="Style_7_ch"/>
        </w:rPr>
        <w:t xml:space="preserve">Цель данного запрета - исключить конфликт интересов, предотвратить злоупотребление служебным положением и обеспечить независимость муниципального служащего. </w:t>
      </w:r>
    </w:p>
    <w:p w14:paraId="5F000000">
      <w:pPr>
        <w:pStyle w:val="Style_7"/>
        <w:widowControl w:val="1"/>
        <w:ind w:firstLine="851"/>
        <w:jc w:val="both"/>
      </w:pPr>
      <w:r>
        <w:rPr>
          <w:rStyle w:val="Style_7_ch"/>
        </w:rPr>
        <w:t xml:space="preserve">Закон требует, чтобы служащий получал вознаграждение только из местного бюджета и не совмещал службу с ведением собственного бизнеса. </w:t>
      </w:r>
    </w:p>
    <w:p w14:paraId="60000000">
      <w:pPr>
        <w:pStyle w:val="Style_7"/>
        <w:widowControl w:val="1"/>
        <w:ind w:firstLine="851"/>
        <w:jc w:val="both"/>
      </w:pPr>
      <w:r>
        <w:rPr>
          <w:rStyle w:val="Style_7_ch"/>
        </w:rPr>
        <w:t>Нарушение этого запрета может повлечь дисциплинарную ответственность вплоть до увольнения.</w:t>
      </w:r>
    </w:p>
    <w:p w14:paraId="61000000">
      <w:pPr>
        <w:pStyle w:val="Style_7"/>
        <w:widowControl w:val="1"/>
        <w:ind w:firstLine="851"/>
        <w:jc w:val="both"/>
      </w:pPr>
      <w:r>
        <w:rPr>
          <w:rStyle w:val="Style_7_ch"/>
        </w:rPr>
        <w:t>При этом, м</w:t>
      </w:r>
      <w:r>
        <w:rPr>
          <w:rStyle w:val="Style_7_ch"/>
        </w:rPr>
        <w:t>униципальный служащий вправе заниматься педагогической, научной, творческой или иной деятельностью, если она не является предпринимательской и не финансируется исключительно за счёт иностранных государств или организаций (для этого требуется уведомление руководителя).</w:t>
      </w:r>
    </w:p>
    <w:p w14:paraId="62000000">
      <w:pPr>
        <w:pStyle w:val="Style_7"/>
        <w:widowControl w:val="1"/>
        <w:ind w:firstLine="851"/>
        <w:jc w:val="both"/>
      </w:pPr>
      <w:r>
        <w:rPr>
          <w:rStyle w:val="Style_7_ch"/>
        </w:rPr>
        <w:t>Разрешено участие в управлении некоторыми некоммерческими организациями на безвозмездной основе или с разрешения представителя нанимателя.</w:t>
      </w:r>
    </w:p>
    <w:p w14:paraId="63000000">
      <w:pPr>
        <w:pStyle w:val="Style_7"/>
        <w:widowControl w:val="1"/>
        <w:ind w:firstLine="851"/>
        <w:jc w:val="both"/>
      </w:pPr>
      <w:r>
        <w:rPr>
          <w:rStyle w:val="Style_7_ch"/>
        </w:rPr>
        <w:t>Закон не запрещает родственникам муниципального служащего заниматься бизнесом.</w:t>
      </w:r>
    </w:p>
    <w:p w14:paraId="64000000">
      <w:pPr>
        <w:widowControl w:val="1"/>
        <w:ind w:firstLine="851"/>
        <w:jc w:val="both"/>
      </w:pPr>
    </w:p>
    <w:p w14:paraId="65000000">
      <w:pPr>
        <w:widowControl w:val="1"/>
        <w:ind w:firstLine="851"/>
        <w:jc w:val="both"/>
      </w:pPr>
    </w:p>
    <w:p w14:paraId="66000000">
      <w:pPr>
        <w:widowControl w:val="1"/>
        <w:ind w:firstLine="851"/>
        <w:jc w:val="both"/>
      </w:pPr>
    </w:p>
    <w:p w14:paraId="67000000">
      <w:pPr>
        <w:widowControl w:val="1"/>
        <w:ind w:firstLine="851"/>
        <w:jc w:val="both"/>
      </w:pPr>
    </w:p>
    <w:p w14:paraId="68000000">
      <w:pPr>
        <w:widowControl w:val="1"/>
        <w:ind w:firstLine="851"/>
        <w:jc w:val="both"/>
      </w:pPr>
      <w:r>
        <w:br w:type="page"/>
      </w:r>
    </w:p>
    <w:p w14:paraId="69000000">
      <w:pPr>
        <w:widowControl w:val="1"/>
        <w:ind w:firstLine="709"/>
        <w:jc w:val="center"/>
        <w:rPr>
          <w:b w:val="1"/>
        </w:rPr>
      </w:pPr>
      <w:r>
        <w:rPr>
          <w:b w:val="1"/>
        </w:rPr>
        <w:t>Формы к</w:t>
      </w:r>
      <w:r>
        <w:rPr>
          <w:b w:val="1"/>
        </w:rPr>
        <w:t>оррупции на муниципальной службе</w:t>
      </w:r>
    </w:p>
    <w:p w14:paraId="6A000000">
      <w:pPr>
        <w:widowControl w:val="1"/>
        <w:ind w:firstLine="709"/>
        <w:jc w:val="both"/>
      </w:pPr>
    </w:p>
    <w:p w14:paraId="6B000000">
      <w:pPr>
        <w:pStyle w:val="Style_7"/>
        <w:widowControl w:val="1"/>
        <w:ind w:firstLine="709"/>
        <w:jc w:val="both"/>
      </w:pPr>
      <w:r>
        <w:t xml:space="preserve">Коррупция на муниципальной службе проявляется в различных формах, каждая из которых имеет свои особенности и последствия. </w:t>
      </w:r>
    </w:p>
    <w:p w14:paraId="6C000000">
      <w:pPr>
        <w:pStyle w:val="Style_7"/>
        <w:widowControl w:val="1"/>
        <w:ind w:firstLine="709"/>
        <w:jc w:val="both"/>
      </w:pPr>
      <w:r>
        <w:t>Основные формы коррупции на муниципальной службе включают:</w:t>
      </w:r>
    </w:p>
    <w:p w14:paraId="6D000000">
      <w:pPr>
        <w:pStyle w:val="Style_7"/>
        <w:widowControl w:val="1"/>
        <w:ind w:firstLine="709"/>
        <w:jc w:val="both"/>
      </w:pPr>
      <w:r>
        <w:t>1. Взяточничество - э</w:t>
      </w:r>
      <w:r>
        <w:t>то одна из самых распространенных форм коррупции, при которой муниципальный служащий получает или требует деньги, ценности или услуги в обмен на выполнение или невыполнение своих должностных обязанностей. Взяточничество может быть как прямым, так и завуалированным, например, через предоставление услуг по заниженной цене.</w:t>
      </w:r>
    </w:p>
    <w:p w14:paraId="6E000000">
      <w:pPr>
        <w:pStyle w:val="Style_7"/>
        <w:widowControl w:val="1"/>
        <w:ind w:firstLine="709"/>
        <w:jc w:val="both"/>
      </w:pPr>
      <w:r>
        <w:t>2. Коммерческий подкуп - э</w:t>
      </w:r>
      <w:r>
        <w:t>то форма коррупции, при которой служащий получает вознаграждение за принятие решений, выгодных для определенной коммерческой организации. Это может включать в себя получение комиссионных за размещение государственных заказов или предоставление выгодных контрактов.</w:t>
      </w:r>
    </w:p>
    <w:p w14:paraId="6F000000">
      <w:pPr>
        <w:pStyle w:val="Style_7"/>
        <w:widowControl w:val="1"/>
        <w:ind w:firstLine="709"/>
        <w:jc w:val="both"/>
      </w:pPr>
      <w:r>
        <w:t>3. Служебное мошенничество - в</w:t>
      </w:r>
      <w:r>
        <w:t>ключает в себя хищение средств или имущества, находящихся в ведении муниципального служащего. Это может проявляться в виде подделки документов, мошеннических схем и других незаконных действий.</w:t>
      </w:r>
    </w:p>
    <w:p w14:paraId="70000000">
      <w:pPr>
        <w:pStyle w:val="Style_7"/>
        <w:widowControl w:val="1"/>
        <w:ind w:firstLine="709"/>
        <w:jc w:val="both"/>
      </w:pPr>
      <w:r>
        <w:t>4. Незаконный протекционизм – э</w:t>
      </w:r>
      <w:r>
        <w:t>то форма коррупции, при которой служащий использует свое положение для предоставления необоснованных преимуществ определенным лицам или организациям, например, в процессе размещения заказов или предоставления услуг.</w:t>
      </w:r>
    </w:p>
    <w:p w14:paraId="71000000">
      <w:pPr>
        <w:pStyle w:val="Style_7"/>
        <w:widowControl w:val="1"/>
        <w:ind w:firstLine="709"/>
        <w:jc w:val="both"/>
      </w:pPr>
      <w:r>
        <w:t>5. Политическая коррупция - в</w:t>
      </w:r>
      <w:r>
        <w:t>ключает в себя использование административного ресурса для получения "нужного" результата выборов или других политических процессов. Это может проявляться в виде кумовства, когда родственники или друзья служащего получают привилегии.</w:t>
      </w:r>
    </w:p>
    <w:p w14:paraId="72000000">
      <w:pPr>
        <w:pStyle w:val="Style_7"/>
        <w:widowControl w:val="1"/>
        <w:ind w:firstLine="709"/>
        <w:jc w:val="both"/>
      </w:pPr>
      <w:r>
        <w:t>6. Бюрократический рэкет - э</w:t>
      </w:r>
      <w:r>
        <w:t>то форма коррупции, при которой служащие требуют взятки за выполнение своих прямых обязанностей, таких как регистрация предприятий или выдача разрешений.</w:t>
      </w:r>
    </w:p>
    <w:p w14:paraId="73000000">
      <w:pPr>
        <w:pStyle w:val="Style_7"/>
        <w:widowControl w:val="1"/>
        <w:ind w:firstLine="709"/>
        <w:jc w:val="both"/>
      </w:pPr>
      <w:r>
        <w:t>7. Оказание услуг и знаков внимания - в</w:t>
      </w:r>
      <w:r>
        <w:t>ключает в себя предоставление муниципальным служащим различных услуг или "знаков внимания" в обмен на личные выгоды. Это может быть как материальные подарки, так и услуги, такие как поездки на отдых.</w:t>
      </w:r>
    </w:p>
    <w:p w14:paraId="74000000">
      <w:pPr>
        <w:pStyle w:val="Style_7"/>
        <w:widowControl w:val="1"/>
        <w:ind w:firstLine="709"/>
        <w:jc w:val="both"/>
      </w:pPr>
      <w:r>
        <w:t>Эти формы коррупции наносят значительный ущерб как самим органам местного самоуправления, так и обществу в целом, подрывая доверие к власти и нарушая принципы справедливости и законности.</w:t>
      </w:r>
    </w:p>
    <w:p w14:paraId="75000000">
      <w:pPr>
        <w:widowControl w:val="1"/>
        <w:ind w:firstLine="709"/>
        <w:jc w:val="both"/>
      </w:pPr>
    </w:p>
    <w:p w14:paraId="76000000">
      <w:pPr>
        <w:widowControl w:val="1"/>
        <w:ind w:firstLine="709"/>
        <w:jc w:val="both"/>
      </w:pPr>
    </w:p>
    <w:p w14:paraId="77000000">
      <w:pPr>
        <w:widowControl w:val="1"/>
        <w:ind w:firstLine="709"/>
        <w:jc w:val="both"/>
      </w:pPr>
      <w:r>
        <w:br w:type="page"/>
      </w:r>
    </w:p>
    <w:p w14:paraId="78000000">
      <w:pPr>
        <w:widowControl w:val="1"/>
        <w:ind w:firstLine="709"/>
        <w:jc w:val="center"/>
        <w:rPr>
          <w:b w:val="1"/>
        </w:rPr>
      </w:pPr>
      <w:r>
        <w:rPr>
          <w:rStyle w:val="Style_7_ch"/>
          <w:b w:val="1"/>
        </w:rPr>
        <w:t>Наказание за взяточничество на муниципальной службе</w:t>
      </w:r>
    </w:p>
    <w:p w14:paraId="79000000">
      <w:pPr>
        <w:widowControl w:val="1"/>
        <w:spacing w:line="240" w:lineRule="exact"/>
        <w:ind w:firstLine="709"/>
        <w:jc w:val="center"/>
        <w:rPr>
          <w:b w:val="1"/>
        </w:rPr>
      </w:pPr>
    </w:p>
    <w:p w14:paraId="7A000000">
      <w:pPr>
        <w:widowControl w:val="1"/>
        <w:spacing w:line="240" w:lineRule="exact"/>
        <w:ind w:firstLine="709"/>
        <w:jc w:val="center"/>
        <w:rPr>
          <w:b w:val="1"/>
        </w:rPr>
      </w:pPr>
    </w:p>
    <w:p w14:paraId="7B000000">
      <w:pPr>
        <w:pStyle w:val="Style_7"/>
        <w:widowControl w:val="1"/>
        <w:ind w:firstLine="709"/>
        <w:jc w:val="both"/>
      </w:pPr>
      <w:r>
        <w:t xml:space="preserve">Взяточничество на муниципальной службе является серьезным правонарушением, за которое предусмотрены различные виды </w:t>
      </w:r>
      <w:r>
        <w:t xml:space="preserve">ответственности. </w:t>
      </w:r>
    </w:p>
    <w:p w14:paraId="7C000000">
      <w:pPr>
        <w:pStyle w:val="Style_7"/>
        <w:widowControl w:val="1"/>
        <w:ind w:firstLine="709"/>
        <w:jc w:val="both"/>
      </w:pPr>
      <w:r>
        <w:t>Основные меры наказания за взяточничество в России регулируются Уголовным кодексом Российской Федерации (УК РФ) и включают в себя следующие:</w:t>
      </w:r>
    </w:p>
    <w:p w14:paraId="7D000000">
      <w:pPr>
        <w:pStyle w:val="Style_7"/>
        <w:widowControl w:val="1"/>
        <w:ind w:firstLine="709"/>
        <w:jc w:val="both"/>
      </w:pPr>
      <w:r>
        <w:t>1. Уголовная ответственность</w:t>
      </w:r>
    </w:p>
    <w:p w14:paraId="7E000000">
      <w:pPr>
        <w:pStyle w:val="Style_7"/>
        <w:widowControl w:val="1"/>
        <w:ind w:firstLine="709"/>
        <w:jc w:val="both"/>
      </w:pPr>
      <w:r>
        <w:t xml:space="preserve">Получение взятки (ст. 290 УК РФ). </w:t>
      </w:r>
      <w:r>
        <w:t xml:space="preserve">За получение взятки должностным лицом предусмотрено наказание в виде штрафа в размере от 100 тыс. до 500 тыс. рублей или в размере заработной платы или иного дохода осужденного за период от одного года до трех лет. </w:t>
      </w:r>
      <w:r>
        <w:t xml:space="preserve">Также возможно лишение свободы на срок до пяти лет с лишением права занимать определенные должности или заниматься определенной деятельностью на срок до трех лет. </w:t>
      </w:r>
      <w:r>
        <w:t>Если взятка получена за незаконные действия, наказание может составлять от трех до семи лет лишения свободы.</w:t>
      </w:r>
    </w:p>
    <w:p w14:paraId="7F000000">
      <w:pPr>
        <w:pStyle w:val="Style_7"/>
        <w:widowControl w:val="1"/>
        <w:ind w:firstLine="709"/>
        <w:jc w:val="both"/>
      </w:pPr>
      <w:r>
        <w:t xml:space="preserve">Дача взятки (ст. 291 УК РФ). </w:t>
      </w:r>
      <w:r>
        <w:t xml:space="preserve">За дачу взятки должностному лицу предусмотрено наказание в виде штрафа до 200 тыс. рублей или в размере заработной платы или иного дохода осужденного за период до восемнадцати месяцев. </w:t>
      </w:r>
      <w:r>
        <w:t xml:space="preserve">Также возможны исправительные работы на срок от одного года до двух лет, арест на срок от трех до шести месяцев или лишение свободы на срок до трех лет. </w:t>
      </w:r>
    </w:p>
    <w:p w14:paraId="80000000">
      <w:pPr>
        <w:pStyle w:val="Style_7"/>
        <w:widowControl w:val="1"/>
        <w:ind w:firstLine="709"/>
        <w:jc w:val="both"/>
      </w:pPr>
      <w:r>
        <w:t xml:space="preserve">Мелкое взяточничество (ст. 291.2 УК РФ). </w:t>
      </w:r>
      <w:r>
        <w:t>За получение или дачу взятки в размере, не превышающем 10 тысяч рублей, предусмотрено наказание в виде штрафа до 200 тыс. рублей или в размере заработной платы или иного дохода осужденного за период до шести месяцев, либо лишение свободы на срок до одного года.</w:t>
      </w:r>
    </w:p>
    <w:p w14:paraId="81000000">
      <w:pPr>
        <w:pStyle w:val="Style_7"/>
        <w:widowControl w:val="1"/>
        <w:ind w:firstLine="709"/>
        <w:jc w:val="both"/>
      </w:pPr>
      <w:r>
        <w:t>2. Дисциплинарная ответственность</w:t>
      </w:r>
    </w:p>
    <w:p w14:paraId="82000000">
      <w:pPr>
        <w:pStyle w:val="Style_7"/>
        <w:widowControl w:val="1"/>
        <w:ind w:firstLine="709"/>
        <w:jc w:val="both"/>
      </w:pPr>
      <w:r>
        <w:t>Муниципальные служащие, совершившие коррупционные правонарушения, могут быть привлечены к дисциплинарной ответственности, что может включать увольнение с муниципальной службы или другие меры, предусмотренные законодательством.</w:t>
      </w:r>
    </w:p>
    <w:p w14:paraId="83000000">
      <w:pPr>
        <w:pStyle w:val="Style_7"/>
        <w:widowControl w:val="1"/>
        <w:ind w:firstLine="709"/>
        <w:jc w:val="both"/>
      </w:pPr>
      <w:r>
        <w:t>3. Гражданско-правовая ответственность</w:t>
      </w:r>
    </w:p>
    <w:p w14:paraId="84000000">
      <w:pPr>
        <w:pStyle w:val="Style_7"/>
        <w:widowControl w:val="1"/>
        <w:ind w:firstLine="709"/>
        <w:jc w:val="both"/>
      </w:pPr>
      <w:r>
        <w:t>В случае причинения ущерба гражданам или юридическим лицам в результате коррупционных действий, должностные лица могут быть привлечены к гражданско-правовой ответственности, что включает возмещение ущерба.</w:t>
      </w:r>
    </w:p>
    <w:p w14:paraId="85000000">
      <w:pPr>
        <w:pStyle w:val="Style_7"/>
        <w:widowControl w:val="1"/>
        <w:ind w:firstLine="709"/>
        <w:jc w:val="both"/>
      </w:pPr>
      <w:r>
        <w:t>4. Административная ответственность</w:t>
      </w:r>
    </w:p>
    <w:p w14:paraId="86000000">
      <w:pPr>
        <w:pStyle w:val="Style_7"/>
        <w:widowControl w:val="1"/>
        <w:ind w:firstLine="709"/>
        <w:jc w:val="both"/>
      </w:pPr>
      <w:r>
        <w:t xml:space="preserve"> В некоторых случаях могут быть применены меры административной ответственности, например, за незаконное привлечение к трудовой деятельности государственного служащего.</w:t>
      </w:r>
    </w:p>
    <w:p w14:paraId="87000000">
      <w:pPr>
        <w:pStyle w:val="Style_7"/>
        <w:widowControl w:val="1"/>
        <w:ind w:firstLine="709"/>
        <w:jc w:val="both"/>
      </w:pPr>
      <w:r>
        <w:t>Таким образом, взяточничество на муниципальной службе влечет за собой серьезные последствия как для должностных лиц, так и для граждан, которые могут быть привлечены к ответственности за подобные действия.</w:t>
      </w:r>
      <w:r>
        <w:br w:type="page"/>
      </w:r>
    </w:p>
    <w:p w14:paraId="88000000">
      <w:pPr>
        <w:pStyle w:val="Style_7"/>
        <w:widowControl w:val="1"/>
        <w:ind w:firstLine="540"/>
        <w:jc w:val="center"/>
        <w:rPr>
          <w:b w:val="1"/>
        </w:rPr>
      </w:pPr>
      <w:r>
        <w:rPr>
          <w:b w:val="1"/>
          <w:sz w:val="28"/>
        </w:rPr>
        <w:t>О новшествах законодательства в сфере противодействия коррупц</w:t>
      </w:r>
      <w:r>
        <w:rPr>
          <w:b w:val="1"/>
          <w:sz w:val="28"/>
        </w:rPr>
        <w:t>ии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 в </w:t>
      </w:r>
      <w:r>
        <w:rPr>
          <w:rStyle w:val="Style_7_ch"/>
          <w:b w:val="1"/>
        </w:rPr>
        <w:t xml:space="preserve">части контроля </w:t>
      </w:r>
      <w:r>
        <w:rPr>
          <w:rStyle w:val="Style_7_ch"/>
          <w:b w:val="1"/>
        </w:rPr>
        <w:t>за соответствием расходов лиц, замещающих государственные должности, и иных лиц их доходам</w:t>
      </w:r>
    </w:p>
    <w:p w14:paraId="89000000">
      <w:pPr>
        <w:widowControl w:val="1"/>
        <w:ind w:firstLine="709"/>
        <w:jc w:val="both"/>
        <w:rPr>
          <w:sz w:val="26"/>
        </w:rPr>
      </w:pPr>
    </w:p>
    <w:p w14:paraId="8A000000">
      <w:pPr>
        <w:widowControl w:val="1"/>
        <w:ind w:firstLine="709"/>
        <w:jc w:val="both"/>
        <w:rPr>
          <w:b w:val="0"/>
          <w:sz w:val="28"/>
        </w:rPr>
      </w:pPr>
      <w:r>
        <w:rPr>
          <w:rStyle w:val="Style_7_ch"/>
          <w:b w:val="0"/>
          <w:sz w:val="28"/>
        </w:rPr>
        <w:t xml:space="preserve">С 1 сентября 2026 года вступит в силу Федеральный закон </w:t>
      </w:r>
      <w:r>
        <w:rPr>
          <w:rStyle w:val="Style_7_ch"/>
          <w:b w:val="0"/>
          <w:sz w:val="28"/>
        </w:rPr>
        <w:br/>
      </w:r>
      <w:r>
        <w:rPr>
          <w:rStyle w:val="Style_7_ch"/>
          <w:b w:val="0"/>
          <w:sz w:val="28"/>
        </w:rPr>
        <w:t>от 2</w:t>
      </w:r>
      <w:r>
        <w:rPr>
          <w:rStyle w:val="Style_7_ch"/>
          <w:b w:val="0"/>
          <w:sz w:val="28"/>
        </w:rPr>
        <w:t>5.04.2026</w:t>
      </w:r>
      <w:r>
        <w:rPr>
          <w:rStyle w:val="Style_7_ch"/>
          <w:b w:val="0"/>
          <w:sz w:val="28"/>
        </w:rPr>
        <w:t xml:space="preserve"> № 105-Ф</w:t>
      </w:r>
      <w:r>
        <w:rPr>
          <w:rStyle w:val="Style_7_ch"/>
          <w:b w:val="0"/>
          <w:sz w:val="28"/>
        </w:rPr>
        <w:t>З</w:t>
      </w:r>
      <w:r>
        <w:rPr>
          <w:sz w:val="28"/>
        </w:rPr>
        <w:t xml:space="preserve">, которым вносятся изменения в </w:t>
      </w:r>
      <w:r>
        <w:rPr>
          <w:rStyle w:val="Style_7_ch"/>
          <w:b w:val="0"/>
          <w:sz w:val="28"/>
        </w:rPr>
        <w:t xml:space="preserve">Федеральный закон </w:t>
      </w:r>
      <w:r>
        <w:rPr>
          <w:rStyle w:val="Style_7_ch"/>
          <w:b w:val="0"/>
          <w:sz w:val="28"/>
        </w:rPr>
        <w:br/>
      </w:r>
      <w:r>
        <w:rPr>
          <w:rStyle w:val="Style_7_ch"/>
          <w:b w:val="0"/>
          <w:sz w:val="28"/>
        </w:rPr>
        <w:t>от 25.12.2008 № 273-ФЗ «О противодействии коррупции» и Федеральный закон</w:t>
      </w:r>
      <w:r>
        <w:rPr>
          <w:rStyle w:val="Style_7_ch"/>
          <w:b w:val="0"/>
          <w:sz w:val="28"/>
        </w:rPr>
        <w:t xml:space="preserve"> от </w:t>
      </w:r>
      <w:r>
        <w:rPr>
          <w:b w:val="0"/>
          <w:sz w:val="28"/>
        </w:rPr>
        <w:t xml:space="preserve">03.12.2012 № 230-ФЗ </w:t>
      </w:r>
      <w:r>
        <w:rPr>
          <w:rStyle w:val="Style_7_ch"/>
          <w:b w:val="0"/>
          <w:sz w:val="28"/>
        </w:rPr>
        <w:t>«О контроле за соответствием расходов лиц, замещающих государственные должности, и иных лиц их доходам».</w:t>
      </w:r>
    </w:p>
    <w:p w14:paraId="8B000000">
      <w:pPr>
        <w:pStyle w:val="Style_7"/>
        <w:widowControl w:val="1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 xml:space="preserve">Изменения вносятся в порядок предоставления сведений о расходах, установленный статьей 8.1 Федерального закона «О противодействии коррупции», в части дополнения нормы положением о том, что в общий доход за </w:t>
      </w:r>
      <w:r>
        <w:rPr>
          <w:b w:val="0"/>
        </w:rPr>
        <w:t xml:space="preserve">три последних года, предшествующих совершению сделки, являющейся основанием для проведения контроля за соответствием расходов в отношении </w:t>
      </w:r>
      <w:r>
        <w:rPr>
          <w:b w:val="0"/>
        </w:rPr>
        <w:t>лиц</w:t>
      </w:r>
      <w:r>
        <w:rPr>
          <w:b w:val="0"/>
        </w:rPr>
        <w:t>, з</w:t>
      </w:r>
      <w:r>
        <w:rPr>
          <w:b w:val="0"/>
        </w:rPr>
        <w:t>амещающих должности, включенные в перечни</w:t>
      </w:r>
      <w:r>
        <w:rPr>
          <w:b w:val="0"/>
        </w:rPr>
        <w:t>, установленные нормативными правовыми актами Российской Федерации,</w:t>
      </w:r>
      <w:r>
        <w:rPr>
          <w:b w:val="0"/>
        </w:rPr>
        <w:t xml:space="preserve"> а также расходов их супруг (супругов) и несовершеннолетних детей, – включены, помимо доходов указанных лиц и их супруги (супруга), также доходы</w:t>
      </w:r>
      <w:r>
        <w:rPr>
          <w:b w:val="0"/>
        </w:rPr>
        <w:t xml:space="preserve"> </w:t>
      </w:r>
      <w:r>
        <w:rPr>
          <w:b w:val="0"/>
        </w:rPr>
        <w:t>их несовершеннолетних детей.</w:t>
      </w:r>
    </w:p>
    <w:p w14:paraId="8C000000">
      <w:pPr>
        <w:pStyle w:val="Style_7"/>
        <w:widowControl w:val="1"/>
        <w:ind w:firstLine="709"/>
        <w:jc w:val="both"/>
        <w:rPr>
          <w:b w:val="0"/>
          <w:sz w:val="28"/>
        </w:rPr>
      </w:pPr>
      <w:r>
        <w:t xml:space="preserve">Так, согласно статье 3 Федерального закона </w:t>
      </w:r>
      <w:r>
        <w:rPr>
          <w:rStyle w:val="Style_7_ch"/>
          <w:b w:val="0"/>
          <w:sz w:val="28"/>
        </w:rPr>
        <w:t>«О контроле за соответствием расходов лиц, замещающих государственные должности, и иных лиц их доходам» л</w:t>
      </w:r>
      <w:r>
        <w:rPr>
          <w:b w:val="0"/>
        </w:rPr>
        <w:t xml:space="preserve">ицо, замещающее (занимающее) одну из должностей, </w:t>
      </w:r>
      <w:r>
        <w:rPr>
          <w:b w:val="0"/>
        </w:rPr>
        <w:t>указанных в</w:t>
      </w:r>
      <w:r>
        <w:rPr>
          <w:b w:val="0"/>
        </w:rPr>
        <w:t xml:space="preserve"> пункте 1 части 1 статьи 2 </w:t>
      </w:r>
      <w:r>
        <w:rPr>
          <w:b w:val="0"/>
        </w:rPr>
        <w:t>настоящего Федерального закона, обязано представлять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14:paraId="8D000000">
      <w:pPr>
        <w:pStyle w:val="Style_7"/>
        <w:widowControl w:val="1"/>
        <w:ind w:firstLine="709"/>
        <w:jc w:val="both"/>
        <w:rPr>
          <w:b w:val="0"/>
        </w:rPr>
      </w:pPr>
      <w:r>
        <w:rPr>
          <w:b w:val="0"/>
        </w:rPr>
        <w:t xml:space="preserve">В статью 3 </w:t>
      </w:r>
      <w:r>
        <w:t xml:space="preserve">Федерального закона </w:t>
      </w:r>
      <w:r>
        <w:rPr>
          <w:rStyle w:val="Style_7_ch"/>
          <w:b w:val="0"/>
          <w:sz w:val="28"/>
        </w:rPr>
        <w:t>«О контроле за соответствием расходов лиц, замещающих государственные должности, и иных лиц их доходам» введено положение о том, что п</w:t>
      </w:r>
      <w:r>
        <w:rPr>
          <w:b w:val="0"/>
        </w:rPr>
        <w:t>ри расчете общего дохода</w:t>
      </w:r>
      <w:r>
        <w:rPr>
          <w:b w:val="0"/>
        </w:rPr>
        <w:t xml:space="preserve"> учитываются доходы супруги (супруга) подконтрольного лица</w:t>
      </w:r>
      <w:r>
        <w:rPr>
          <w:b w:val="0"/>
        </w:rPr>
        <w:t>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8E000000">
      <w:pPr>
        <w:pStyle w:val="Style_7"/>
        <w:widowControl w:val="1"/>
        <w:ind w:firstLine="709"/>
        <w:jc w:val="both"/>
        <w:rPr>
          <w:b w:val="0"/>
        </w:rPr>
      </w:pPr>
      <w:r>
        <w:rPr>
          <w:b w:val="0"/>
        </w:rPr>
        <w:t xml:space="preserve">Согласно нововведениям законодателя, предоставление сведений о расходах подконтрольным лицом не осуществляется в отношении тех сделок, которые совершены им, его </w:t>
      </w:r>
      <w:r>
        <w:rPr>
          <w:b w:val="0"/>
        </w:rPr>
        <w:t xml:space="preserve">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 </w:t>
      </w:r>
      <w:r>
        <w:rPr>
          <w:b w:val="0"/>
        </w:rPr>
        <w:t xml:space="preserve">Кроме того, приобретенное имущество по указанным сделкам </w:t>
      </w:r>
      <w:r>
        <w:rPr>
          <w:b w:val="0"/>
        </w:rPr>
        <w:t>не может быть обращено по решению суда в доход Российской Федерации, денежные средства в размере, эквивалентном расходам, понесенным по этим сделкам, не могут быть взысканы в доход Российской Федерации.</w:t>
      </w:r>
    </w:p>
    <w:p w14:paraId="8F000000">
      <w:pPr>
        <w:pStyle w:val="Style_7"/>
        <w:widowControl w:val="1"/>
        <w:ind w:firstLine="709"/>
        <w:jc w:val="both"/>
        <w:rPr>
          <w:b w:val="0"/>
        </w:rPr>
      </w:pPr>
    </w:p>
    <w:p w14:paraId="90000000">
      <w:pPr>
        <w:widowControl w:val="1"/>
        <w:ind w:firstLine="709"/>
        <w:jc w:val="both"/>
      </w:pPr>
    </w:p>
    <w:sectPr>
      <w:headerReference r:id="rId1" w:type="default"/>
      <w:footerReference r:id="rId2" w:type="first"/>
      <w:pgSz w:h="16848" w:orient="portrait" w:w="11908"/>
      <w:pgMar w:bottom="850" w:footer="680" w:gutter="0" w:header="680" w:left="1701" w:right="73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/>
            <w:ind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04000000">
          <w:pPr>
            <w:widowControl w:val="1"/>
            <w:spacing w:after="60"/>
            <w:ind/>
            <w:jc w:val="center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r>
            <w:rPr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  <w:rPr>
        <w:sz w:val="22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widowControl w:val="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7_ch" w:type="character">
    <w:name w:val="Normal"/>
    <w:link w:val="Style_7"/>
    <w:rPr>
      <w:rFonts w:ascii="Times New Roman" w:hAnsi="Times New Roman"/>
      <w:sz w:val="28"/>
    </w:rPr>
  </w:style>
  <w:style w:styleId="Style_8" w:type="paragraph">
    <w:name w:val="footnote reference"/>
    <w:basedOn w:val="Style_9"/>
    <w:link w:val="Style_8_ch"/>
    <w:rPr>
      <w:vertAlign w:val="superscript"/>
    </w:rPr>
  </w:style>
  <w:style w:styleId="Style_8_ch" w:type="character">
    <w:name w:val="footnote reference"/>
    <w:basedOn w:val="Style_9_ch"/>
    <w:link w:val="Style_8"/>
    <w:rPr>
      <w:vertAlign w:val="superscript"/>
    </w:rPr>
  </w:style>
  <w:style w:styleId="Style_10" w:type="paragraph">
    <w:name w:val="toc 2"/>
    <w:next w:val="Style_7"/>
    <w:link w:val="Style_10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Normal (Web)"/>
    <w:basedOn w:val="Style_7"/>
    <w:link w:val="Style_11_ch"/>
    <w:pPr>
      <w:widowControl w:val="1"/>
      <w:spacing w:afterAutospacing="on" w:beforeAutospacing="on"/>
      <w:ind/>
    </w:pPr>
    <w:rPr>
      <w:sz w:val="24"/>
    </w:rPr>
  </w:style>
  <w:style w:styleId="Style_11_ch" w:type="character">
    <w:name w:val="Normal (Web)"/>
    <w:basedOn w:val="Style_7_ch"/>
    <w:link w:val="Style_11"/>
    <w:rPr>
      <w:sz w:val="24"/>
    </w:rPr>
  </w:style>
  <w:style w:styleId="Style_12" w:type="paragraph">
    <w:name w:val="toc 4"/>
    <w:next w:val="Style_7"/>
    <w:link w:val="Style_12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7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7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List Paragraph"/>
    <w:basedOn w:val="Style_7"/>
    <w:link w:val="Style_15_ch"/>
    <w:pPr>
      <w:widowControl w:val="1"/>
      <w:ind w:left="720"/>
      <w:contextualSpacing w:val="1"/>
    </w:pPr>
  </w:style>
  <w:style w:styleId="Style_15_ch" w:type="character">
    <w:name w:val="List Paragraph"/>
    <w:basedOn w:val="Style_7_ch"/>
    <w:link w:val="Style_15"/>
  </w:style>
  <w:style w:styleId="Style_16" w:type="paragraph">
    <w:name w:val="End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7"/>
    <w:link w:val="Style_1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ConsPlusTitle"/>
    <w:link w:val="Style_18_ch"/>
    <w:pPr>
      <w:widowControl w:val="0"/>
      <w:spacing w:after="0" w:line="240" w:lineRule="auto"/>
      <w:ind/>
    </w:pPr>
    <w:rPr>
      <w:rFonts w:ascii="Arial" w:hAnsi="Arial"/>
      <w:b w:val="1"/>
      <w:sz w:val="24"/>
    </w:rPr>
  </w:style>
  <w:style w:styleId="Style_18_ch" w:type="character">
    <w:name w:val="ConsPlusTitle"/>
    <w:link w:val="Style_18"/>
    <w:rPr>
      <w:rFonts w:ascii="Arial" w:hAnsi="Arial"/>
      <w:b w:val="1"/>
      <w:sz w:val="24"/>
    </w:rPr>
  </w:style>
  <w:style w:styleId="Style_19" w:type="paragraph">
    <w:name w:val="toc 3"/>
    <w:next w:val="Style_7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Body Text 2"/>
    <w:basedOn w:val="Style_7"/>
    <w:link w:val="Style_20_ch"/>
    <w:pPr>
      <w:widowControl w:val="1"/>
      <w:spacing w:after="120" w:line="480" w:lineRule="auto"/>
      <w:ind/>
    </w:pPr>
  </w:style>
  <w:style w:styleId="Style_20_ch" w:type="character">
    <w:name w:val="Body Text 2"/>
    <w:basedOn w:val="Style_7_ch"/>
    <w:link w:val="Style_20"/>
  </w:style>
  <w:style w:styleId="Style_21" w:type="paragraph">
    <w:name w:val="Body Text"/>
    <w:basedOn w:val="Style_7"/>
    <w:link w:val="Style_21_ch"/>
    <w:pPr>
      <w:widowControl w:val="1"/>
      <w:spacing w:after="120"/>
      <w:ind/>
    </w:pPr>
    <w:rPr>
      <w:sz w:val="24"/>
    </w:rPr>
  </w:style>
  <w:style w:styleId="Style_21_ch" w:type="character">
    <w:name w:val="Body Text"/>
    <w:basedOn w:val="Style_7_ch"/>
    <w:link w:val="Style_21"/>
    <w:rPr>
      <w:sz w:val="24"/>
    </w:rPr>
  </w:style>
  <w:style w:styleId="Style_22" w:type="paragraph">
    <w:name w:val="heading 5"/>
    <w:next w:val="Style_7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3" w:type="paragraph">
    <w:name w:val="footer"/>
    <w:basedOn w:val="Style_7"/>
    <w:link w:val="Style_3_ch"/>
    <w:pPr>
      <w:widowControl w:val="1"/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7_ch"/>
    <w:link w:val="Style_3"/>
  </w:style>
  <w:style w:styleId="Style_23" w:type="paragraph">
    <w:name w:val="heading 1"/>
    <w:next w:val="Style_7"/>
    <w:link w:val="Style_2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5" w:type="paragraph">
    <w:name w:val="Hyperlink"/>
    <w:basedOn w:val="Style_9"/>
    <w:link w:val="Style_5_ch"/>
    <w:rPr>
      <w:color w:themeColor="hyperlink" w:val="0000FF"/>
      <w:u w:val="single"/>
    </w:rPr>
  </w:style>
  <w:style w:styleId="Style_5_ch" w:type="character">
    <w:name w:val="Hyperlink"/>
    <w:basedOn w:val="Style_9_ch"/>
    <w:link w:val="Style_5"/>
    <w:rPr>
      <w:color w:themeColor="hyperlink" w:val="0000FF"/>
      <w:u w:val="single"/>
    </w:rPr>
  </w:style>
  <w:style w:styleId="Style_24" w:type="paragraph">
    <w:name w:val="Footnote"/>
    <w:basedOn w:val="Style_7"/>
    <w:link w:val="Style_24_ch"/>
    <w:rPr>
      <w:sz w:val="20"/>
    </w:rPr>
  </w:style>
  <w:style w:styleId="Style_24_ch" w:type="character">
    <w:name w:val="Footnote"/>
    <w:basedOn w:val="Style_7_ch"/>
    <w:link w:val="Style_24"/>
    <w:rPr>
      <w:sz w:val="20"/>
    </w:rPr>
  </w:style>
  <w:style w:styleId="Style_25" w:type="paragraph">
    <w:name w:val="Standard"/>
    <w:link w:val="Style_25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25_ch" w:type="character">
    <w:name w:val="Standard"/>
    <w:link w:val="Style_25"/>
    <w:rPr>
      <w:rFonts w:ascii="Times New Roman" w:hAnsi="Times New Roman"/>
      <w:sz w:val="24"/>
    </w:rPr>
  </w:style>
  <w:style w:styleId="Style_26" w:type="paragraph">
    <w:name w:val="toc 1"/>
    <w:next w:val="Style_7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7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29" w:type="paragraph">
    <w:name w:val="toc 8"/>
    <w:next w:val="Style_7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Знак Знак1 Знак Знак Знак"/>
    <w:basedOn w:val="Style_7"/>
    <w:link w:val="Style_30_ch"/>
    <w:pPr>
      <w:widowControl w:val="1"/>
      <w:spacing w:after="160" w:line="240" w:lineRule="exact"/>
      <w:ind w:left="26"/>
    </w:pPr>
    <w:rPr>
      <w:sz w:val="24"/>
    </w:rPr>
  </w:style>
  <w:style w:styleId="Style_30_ch" w:type="character">
    <w:name w:val="Знак Знак1 Знак Знак Знак"/>
    <w:basedOn w:val="Style_7_ch"/>
    <w:link w:val="Style_30"/>
    <w:rPr>
      <w:sz w:val="24"/>
    </w:rPr>
  </w:style>
  <w:style w:styleId="Style_31" w:type="paragraph">
    <w:name w:val="toc 5"/>
    <w:next w:val="Style_7"/>
    <w:link w:val="Style_3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ConsPlusNormal"/>
    <w:link w:val="Style_32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32_ch" w:type="character">
    <w:name w:val="ConsPlusNormal"/>
    <w:link w:val="Style_32"/>
    <w:rPr>
      <w:rFonts w:ascii="Times New Roman" w:hAnsi="Times New Roman"/>
      <w:sz w:val="24"/>
    </w:rPr>
  </w:style>
  <w:style w:styleId="Style_6" w:type="paragraph">
    <w:name w:val="Стиль"/>
    <w:link w:val="Style_6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6_ch" w:type="character">
    <w:name w:val="Стиль"/>
    <w:link w:val="Style_6"/>
    <w:rPr>
      <w:rFonts w:ascii="Times New Roman" w:hAnsi="Times New Roman"/>
      <w:sz w:val="24"/>
    </w:rPr>
  </w:style>
  <w:style w:styleId="Style_33" w:type="paragraph">
    <w:name w:val="Subtitle"/>
    <w:next w:val="Style_7"/>
    <w:link w:val="Style_3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1" w:type="paragraph">
    <w:name w:val="header"/>
    <w:basedOn w:val="Style_7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7_ch"/>
    <w:link w:val="Style_1"/>
  </w:style>
  <w:style w:styleId="Style_34" w:type="paragraph">
    <w:name w:val="Title"/>
    <w:next w:val="Style_7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7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Balloon Text"/>
    <w:basedOn w:val="Style_7"/>
    <w:link w:val="Style_36_ch"/>
    <w:rPr>
      <w:rFonts w:ascii="Tahoma" w:hAnsi="Tahoma"/>
      <w:sz w:val="16"/>
    </w:rPr>
  </w:style>
  <w:style w:styleId="Style_36_ch" w:type="character">
    <w:name w:val="Balloon Text"/>
    <w:basedOn w:val="Style_7_ch"/>
    <w:link w:val="Style_36"/>
    <w:rPr>
      <w:rFonts w:ascii="Tahoma" w:hAnsi="Tahoma"/>
      <w:sz w:val="16"/>
    </w:rPr>
  </w:style>
  <w:style w:styleId="Style_37" w:type="paragraph">
    <w:name w:val="heading 2"/>
    <w:next w:val="Style_7"/>
    <w:link w:val="Style_3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38" w:type="table">
    <w:name w:val="Сетка таблицы светлая1"/>
    <w:basedOn w:val="Style_2"/>
    <w:pPr>
      <w:widowControl w:val="1"/>
      <w:spacing w:after="0" w:line="240" w:lineRule="auto"/>
      <w:ind/>
    </w:pPr>
    <w:tblPr>
      <w:tblBorders>
        <w:top w:color="BFBFBF" w:sz="4" w:val="single"/>
        <w:left w:color="BFBFBF" w:sz="4" w:val="single"/>
        <w:bottom w:color="BFBFBF" w:sz="4" w:val="single"/>
        <w:right w:color="BFBFBF" w:sz="4" w:val="single"/>
        <w:insideH w:color="BFBFBF" w:sz="4" w:val="single"/>
        <w:insideV w:color="BFBFBF" w:sz="4" w:val="single"/>
      </w:tblBorders>
    </w:tblPr>
  </w:style>
  <w:style w:styleId="Style_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9" w:type="table">
    <w:name w:val="Сетка таблицы светлая2"/>
    <w:basedOn w:val="Style_2"/>
    <w:pPr>
      <w:widowControl w:val="1"/>
      <w:spacing w:after="0" w:line="240" w:lineRule="auto"/>
      <w:ind/>
    </w:pPr>
    <w:tblPr>
      <w:tblBorders>
        <w:top w:sz="4" w:themeColor="background1" w:themeShade="BF" w:val="single"/>
        <w:left w:sz="4" w:themeColor="background1" w:themeShade="BF" w:val="single"/>
        <w:bottom w:sz="4" w:themeColor="background1" w:themeShade="BF" w:val="single"/>
        <w:right w:sz="4" w:themeColor="background1" w:themeShade="BF" w:val="single"/>
        <w:insideH w:sz="4" w:themeColor="background1" w:themeShade="BF" w:val="single"/>
        <w:insideV w:sz="4" w:themeColor="background1" w:themeShade="BF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2026-06-10T08:06:55Z</dcterms:created>
  <dcterms:modified xsi:type="dcterms:W3CDTF">2026-06-10T08:41:13Z</dcterms:modified>
</cp:coreProperties>
</file>