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21.06.2016 № 145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проектную документацию «Коттеджная застройка в селе Мирное»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06.10.2003 № 131-ФЗ «Об общих принципах организации местного самоуправления в Российской Федерации»,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на основании протокола публичных слушаний от 21.03.2016 № 2, учитывая заявление Общества с ограниченной ответственностью «Солнечная поляна» о внесении изменений в проектную документацию, распоряжение Правительства Хабаровского края № 619-рп от 01.10.2008 «О включении земельного участка в границы населенного пункта села Мирное Мирненского сельского поселения Хабаровского муниципального района»,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Утвердить следующие изменения в проектную документацию «Планировка территории комплексной застройки в целях жилищного строительства в с. Мирное Хабаровского района», принятую постановлением администрации Хабаровского Муниципального района от 17.16.2009 № 1612, в части внесения изменений в проект «Коттеджная застройка в селе Мирное»: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Объединить земельные участки с кадастровыми номерами 27:17:0329201:588, площадью 2022 кв.м. и 27:17:0329201:635, площадью 562 кв.м. в один земельный участок с условным номером ЗУ1, общей площадью 2584 кв.м.;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Объединить земельные участки с кадастровыми номерами 27:17:0329201:636, площадью 558 кв.м. и 27:17:0329201:637, площадью 566 кв.м. в один земельный участок с условным номером ЗУ1, площадью 1124 кв.м.;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Утвердить площадь земельного участка с кадастровым номером 27:17:0329201:1559 - 742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Утвердить площадь земельного участка с кадастровым номером 27:17:0329201:1558 - 801 кв.м.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Утвердить площадь земельного участка с кадастровым номером 27:17:0329201:1560 - 509 кв.м.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1.6. Утвердить площадь земельного участка с кадастровым номером 27:17:0329201:1610 - 581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1.7. Утвердить площадь земельного участка с кадастровым номером 27:17:0329201:1556 - 3006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1.8. Утвердить площадь земельного участка с кадастровым номером 27:17:0329201:1557 - 29167 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Постановление администрации Мирненского сельского поселения Хабаровского муниципального района Хабаровского края от 16.05.2016 № 120 «О внесении изменений в проектную документацию «Коттеджная застройка в селе Мирное»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Опубликовать настоящее решение в Информационном бюллетене.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