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Бюджетный прогноз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 на долгосрочный период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Бюджетный прогноз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на долгосрочный период разработан на основе прогноза социально-экономического развития Мирненского сельского поселения,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 учетом основных направлений бюджетной и налоговой политики Мирненского сельского поселения .</w:t>
      </w:r>
      <w:r>
        <w:rPr>
          <w:rFonts w:ascii="times new roman"/>
          <w:color w:val="000000"/>
          <w:sz w:val="21"/>
          <w:rtl w:val="off"/>
          <w:lang w:val="en-US"/>
        </w:rPr>
        <w:t xml:space="preserve"> Бюджетный прогноз разработан в условиях налогового и бюджетного законодательства, действующего на момент его составления.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1.Цели и задачи долгосрочной бюджетной политики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Целью основных направлений бюджетной политики является определение подходов к формированию характеристик бюджета поселения на долгосрочный период.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Бюджетная политика направлена на сохранение преемственности определенных ранее приоритетов и их достижение и скорректирована с учетом текущей экономической ситуации и необходимости реализации первоочередных задач. Для обеспечения сбалансированности и устойчивости бюджетной системы Мирненского сельского поселения следует исходить из необходимости принятия бездефицитного бюджета.</w:t>
      </w:r>
      <w:r>
        <w:rPr>
          <w:rFonts w:ascii="times new roman"/>
          <w:color w:val="000000"/>
          <w:sz w:val="21"/>
          <w:rtl w:val="off"/>
          <w:lang w:val="en-US"/>
        </w:rPr>
        <w:t xml:space="preserve"> Целью долгосрочного бюджетного планирования </w:t>
      </w:r>
      <w:r>
        <w:rPr>
          <w:rFonts w:ascii="times new roman"/>
          <w:color w:val="000000"/>
          <w:sz w:val="21"/>
          <w:rtl w:val="off"/>
          <w:lang w:val="en-US"/>
        </w:rPr>
        <w:t>является обеспечение предсказуемости динамики доходов и расходов бюджета поселения, что позволяет оценивать долгосрочные тенденции изменений объема доходов и расходов, а также вырабатывать на их основе соответствующие меры,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направленные на повышение устойчивости и эффективности функционирования </w:t>
      </w:r>
      <w:r>
        <w:rPr>
          <w:rFonts w:ascii="times new roman"/>
          <w:color w:val="000000"/>
          <w:sz w:val="21"/>
          <w:rtl w:val="off"/>
          <w:lang w:val="en-US"/>
        </w:rPr>
        <w:t>бюджетной системы городского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Основная задача долгосрочного бюджетного планирования состоит в увязке </w:t>
      </w:r>
      <w:r>
        <w:rPr>
          <w:rFonts w:ascii="times new roman"/>
          <w:color w:val="000000"/>
          <w:sz w:val="21"/>
          <w:rtl w:val="off"/>
          <w:lang w:val="en-US"/>
        </w:rPr>
        <w:t>проводимой бюджетной политики с задачами по созданию долгосрочного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устойчивого роста экономики и повышению уровня и качества жизни населения городского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Основными направлениями бюджетной политики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формирование бюджетных параметров исходя из необходимости безусловного исполнения действующих расходных обязательств, в том числе с учетом их оптимизации и повышения эффективности использования финансовых ресурсов;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снижение рисков неисполнения первоочередных и социально значимых обязательств, недопущение принятия новых расходных обязательств, не обеспеченных доходными источниками;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повышение эффективности бюджетных расходов на основе оценки достигнутых результатов;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достижение целевых показателей, утвержденных муниципальными программами Мирненского сельского поселения 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интеграция процессов стратегического прогнозирования и бюджетного планирования.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обеспечение открытости и прозрачности  финансов поселения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2.Условия формирования бюджетного прогноза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</w:t>
      </w:r>
      <w:r>
        <w:rPr>
          <w:rFonts w:ascii="times new roman"/>
          <w:color w:val="000000"/>
          <w:sz w:val="21"/>
          <w:rtl w:val="off"/>
          <w:lang w:val="en-US"/>
        </w:rPr>
        <w:t>Мирненское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поселение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входит в состав Хабаровского муниципального района Хабаровского края 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расположено в юго-западной части Хабаровского района. Восточная часть поселения граничит с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сельским поселением Восточное, западная часть граничит с сельским поселением Тополево.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состав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входят два населенных пункта - село Мирное, село Скворцово. Между собой села связаны дорогой Хабаровск – Комсомольск на Амуре.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Административный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центр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- с. Мирное. Село расположено в 11 км от города Хабаровска, вдоль федеральной трассы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 - Комсомольск на Амуре 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Территория поселения составляет 1200 га.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 состоянию на 01.01.2022 г. население поселения составляло 4256 человека, из них по с. Мирное – 3792 чел.,  с. Скворцово – 464 чел.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последний год численность населения сельского поселения увеличилась. Увеличение численности населения вызвано заселением кварталов Солнечный город, Твердохлебово, Европейский, Солнечная поляна, Эверест.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рамках государственной поддержки кредитования населения Дальневосточная ипотека увеличилась продажа или покупка квартир, частных домов, а также строительство.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поселении заключены соглашения между администрацией Мирненского сельского поселения и Хабаровским муниципальным районом о передаче (принятии) части полномочий по решению вопросов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 администрации поселения есть официальный сайт, наполняемый в соответствии с требованиями действующего законодательства.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Генеральный план утвержден решением Совета депутатов Мирненского сельского поселения от 20.05.2013г № 39-182 и Правила землепользования и застройки утверждены решением Совета депутатов Мирненского сельского поселения от 04.07.2013 № 41-186.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Доходы населения средние. Основным источником доходов населения являются доходы, получаемые по месту работы, - это заработная плата, пенсионные выплаты и выплаты социального характера, рост которых, по-прежнему является важнейшим фактором обеспечения повышения жизненного уровня населения.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Доля неработающего населения в Мирненском сельском поселении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 трудоспособном возрасте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не высока, по данным центра занятости населения по Хабаровскому району составляет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9 человек и не может сказываться отрицательно на социально-экономической сфере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 это ведет в, свою очередь, к тому, что бюджет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недополучает денежные средства, которые формируются за счет поступления от НДФЛ, занятых в организациях поселения работающих.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Таким образом, проведенный анализ демографического потенциала Мирненского сельского поселения , и вопросов занятости трудоспособного населения показывает, что затронутые проблемы являются сложными и весьма противоречивыми, тесно связаны с экономикой и бюджетом сельского поселения, и их необходимо учитывать при решении задач комплексного территориального развития.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территории Мирненского сельского поселения зарегистрированы следующие предприятия: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Предприятия жилищно-коммунального комплекса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«Трилит»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МУП«Куканское» (водоснабжение, водоотведение)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МУП Новатор (теплоснабжение)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УК «Альтернатива»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Предприятия пищевой промышленности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ИП ФарзалиевЗакирМамедоглы(закусочная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Предприятия торговли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«Сигма-бак»(магазин)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«Олевин» (магазины)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ООО«Транс ДВ»м-н «Продмаркет»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ИП«Минин»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ООО«Гравитон»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ООО«Сельско-хозяйственный рынок»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«Тори-маркет» (супермаркет)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«Магнит» (магазин)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ИП Кодирова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(мини-маркет)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«Соникмотрс.ру» (склад)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Предприятия промышленного и транспортного комплекса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ОАО «Хабаровск Нефтепродукт» АЗС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ООО«Нефтеторг»АЗС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ООО«Флагман»АЗС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ООО«Империя-сервис ДВ»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СкладыОАО«Ростелеком»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Автомоечный комплекс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ОАО «Хабаровск Нефтепродукт» АЗС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Учреждения здравоохранения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КГБУЗ ХабаровскоеРБ ФАП с. Мирное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Учреждения Культуры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МКУК «Культурно-Досуговый центр»с. Мирное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Учреждения Образования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МКОУ СОШс. Мирное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МКДОУ с. Мирное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МКОУ ДОД «Центр детского творчества»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Водозаборные сооружения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ОАО«ХабаровскийАэропорт»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водозабор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Бытовое обслуживание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ИП Недоговор О.Г.(парикмахерская)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Муниципальные учреждения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Управление по делам архивов и ЗАГС администрации района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Предприятия связи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Филиал ФГУП РТРС «ДВРЦ»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УПФС филиал ФГУП «Почта России» ОПС с. Мирное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целью повышения эффективности использования территории поселения, создания благоприятной среды жизнедеятельности, улучшения жилищных условий будет продолжено содействие населению в ремонте автомобильных дорог, благоустройство дворовых территорий 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3. Прогноз основных характеристик местного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9 месяцев 2021 год доходная часть бюджета поселения исполнена в сумме 17 595,270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тыс. рублей или на 69,54 процента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 уточненным годовым назначениям. При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сравнении с прошлым годом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за 9 месяцев 2021 года поступление доходов в бюджет поселения составило 13 567,966 тысячи рублей, что на 4027,304 тыс. рублей больше, чем за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9 месяцев 2021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2022 году ожидается поступление доходов в сумме 25 301,531 тыс. рублей.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2022 году на 01.01.2022год доходы прогнозируются в сумме 15 013,799 тыс.рублей.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Налоговых и неналоговых доходов поступило за 9 месяцев 2022 года 12 954,451 тыс. рублей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или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65,85 процентов от уточненных годовых назначений.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75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структуре налоговых и неналоговых поступлений наибольшую долю составляет налоги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 УСНО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48,77%.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75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Расходная часть бюджета поселения за 9 мес. в 2022 году исполнена в сумме 15876,254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тыс. рублей, что составляет 57,1%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 уточненным плановым показателям и на 132,307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тыс. рублей меньше прошлого года.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Приоритетными направлениями расходов бюджета поселения являлись выплата заработной платы работникам бюджетной сферы, оплата коммунальных услуг, расходы на содержание и ремонт дорог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Расходы бюджета поселения в среднесрочной перспективе составят: 2022 год – 23452,433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тыс.рублей, 2023 год – 24825,619 тыс.рублей, 2024 год – 25660,139 тыс.рублей.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Учитывая указанные параметры бюджета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района, ожидается, что бюджет поселения будет сформирован в 2022, 2023 и 2024 годах с дефицитом.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4.Показатели финансового обеспечения муниципальных программ Мирненского сельского поселения на период их действия.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Муниципальные программы, являющиеся документами стратегического планирования, позволяют обеспечить выбор приоритетных направлений использования бюджетных средств, которые в первую очередь направляются на исполнение действующих расходных обязательств.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Исполнение мероприятий, предусмотренных Программой, позволит решить наиболее острые проблемы, стоящие перед администрацией поселения и обществом.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Муниципальные программы реализуются в соответствии с прилагаемыми мероприятиями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(приложение к муниципальной программе).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5.Оценка и минимизация бюджетных рисков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Бюджетная и налоговая политика Мирненского сельского поселения на долгосрочный период должна </w:t>
      </w:r>
      <w:r>
        <w:rPr>
          <w:rFonts w:ascii="times new roman"/>
          <w:color w:val="000000"/>
          <w:sz w:val="21"/>
          <w:rtl w:val="off"/>
          <w:lang w:val="en-US"/>
        </w:rPr>
        <w:t>в полной мере учитывать прогнозируемые риски развития экономики и предусматривать адекватные меры по минимизации их неблагоприятного влияния на качество жизни населения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На долгосрочный период основными направлениями работы должны стать </w:t>
      </w:r>
      <w:r>
        <w:rPr>
          <w:rFonts w:ascii="times new roman"/>
          <w:color w:val="000000"/>
          <w:sz w:val="21"/>
          <w:rtl w:val="off"/>
          <w:lang w:val="en-US"/>
        </w:rPr>
        <w:t>мероприятия, обеспечивающие бюджетную устойчивость и общую стабильность.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целом долгосрочная политика по формированию доходов бюджета будет основана на следующих подходах: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Совершенствование налогового законодательства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 целях недопущения снижения доходов бюджета при соблюдении </w:t>
      </w:r>
      <w:r>
        <w:rPr>
          <w:rFonts w:ascii="times new roman"/>
          <w:color w:val="000000"/>
          <w:sz w:val="21"/>
          <w:rtl w:val="off"/>
          <w:lang w:val="en-US"/>
        </w:rPr>
        <w:t>паритета интересов инвесторов и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Установление правила, в соответствии с которым налоговые льготы должны приниматься на временной основе с требованием об обязательном анализе эффективности по итогам их применения.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Улучшение качества налогового администрирования путем координации действий органов исполнительной власти с налоговыми органами и другими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главными администраторами доходов бюджета по контролю за достоверностью начисления налоговых и неналоговых доходов бюджета, своевременностью их перечисления.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 Сокращение возможностей уклонения от уплаты налогов и сборов за счет </w:t>
      </w:r>
      <w:r>
        <w:rPr>
          <w:rFonts w:ascii="times new roman"/>
          <w:color w:val="000000"/>
          <w:sz w:val="21"/>
          <w:rtl w:val="off"/>
          <w:lang w:val="en-US"/>
        </w:rPr>
        <w:t>увеличения объемов безналичных расчетов, формирования максимально благоприятных условий для добросовестных налогоплательщиков,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совершенствования порядка урегулирования задолженности по налогам и сборам;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Повышение эффективности управления муниципальной собственностью и увеличению доходов от ее использования.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Налоговая система, а также доходы от управления имуществом должны обеспечить достижение основной цели - формирование бюджетных доходов в объемах, необходимых для исполнения расходных обязательств, при поддержании благоприятных условий для экономического роста и притока инвестиций.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условиях экономической нестабильности наиболее негативными последствиями и рисками для бюджетной системы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1) наличие дефицита местного бюджета;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сокращение межбюджетных трансфертов из других бюджетов;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Мероприятия по минимизации бюджетных рисков: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повышение доходного потенциала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максимальное наполнение доходной части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бюджета для осуществления социально значимых расходов;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проведение детальных проверок исполнения местного бюджета.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Источники бюджетных рисков, результатом воздействия которых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является ухудшение условий сбалансированности по сравнению с примененными подходами при составлении долгосрочного бюджетного прогноза: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рост уровня безработицы, в связи с оптимизацией государственного сектора экономики,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изменением уровня спроса и предложения на основные производимые товары, работы и услуги, потребление которых осуществляется за пределами города и, как следствие, уменьшение поступления в бюджет налога на доходы физических лиц – основного доходного источника местного бюджета (характеристика риска: внешний);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неформальная занятость, сопряженная с нарушениями трудовых и социальных гарантий негативно влияет на наполняемость бюджета (характеристика риска: внешний);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рост уровня инфляции (характеристика риска: внешний);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высокая степень неопределенности объемов поступлений в долгосрочном периоде межбюджетных трансфертов в виде дотации на сбалансированность, доля которой в общем объеме доходов составляет около 2% (характеристика риска: внешний);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5. Приложения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1.Прогноз основных характеристик бюджета поселения до 2025 года представлен в приложении 1 к бюджетному прогнозу.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Глава Мирненского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И.М. Байдакова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к Бюджетному прогнозу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на долгосрочный период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ПРОГНОЗ ОСНОВНЫХ ХАРАКТЕРИСТИК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тыс.рублей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бюджета - всего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22743,119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23504,939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24987,299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том числе: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20835,000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21562,000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23020,000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1.3.- безвозмездные поступления - всего </w:t>
      </w:r>
      <w:r>
        <w:rPr>
          <w:rFonts w:ascii="arial"/>
          <w:color w:val="000000"/>
          <w:sz w:val="18"/>
          <w:rtl w:val="off"/>
          <w:lang w:val="en-US"/>
        </w:rPr>
        <w:t>HYPERLINK "file:///\\\\192.168.168.2\\obmen\\Управление%20делами\\Романова\\Финансы\\ПОСТАНОВЛЕНИЯ%20бюджетный%20прогноз%20(2).doc" \l "Par263" \o "Ссылка на текущий документ"</w:t>
      </w:r>
      <w:r>
        <w:rPr>
          <w:rFonts w:ascii="times new roman"/>
          <w:color w:val="000000"/>
          <w:sz w:val="18"/>
          <w:u w:val="single"/>
          <w:rtl w:val="off"/>
          <w:lang w:val="en-US"/>
        </w:rPr>
        <w:t>&lt;*&gt;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1728,119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1757,939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1782,299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том числе: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1.3.1.- не имеющие целевого назначения </w:t>
      </w:r>
      <w:r>
        <w:rPr>
          <w:rFonts w:ascii="arial"/>
          <w:color w:val="000000"/>
          <w:sz w:val="18"/>
          <w:rtl w:val="off"/>
          <w:lang w:val="en-US"/>
        </w:rPr>
        <w:t>HYPERLINK "file:///\\\\192.168.168.2\\obmen\\Управление%20делами\\Романова\\Финансы\\ПОСТАНОВЛЕНИЯ%20бюджетный%20прогноз%20(2).doc" \l "Par263" \o "Ссылка на текущий документ"</w:t>
      </w:r>
      <w:r>
        <w:rPr>
          <w:rFonts w:ascii="times new roman"/>
          <w:color w:val="000000"/>
          <w:sz w:val="18"/>
          <w:u w:val="single"/>
          <w:rtl w:val="off"/>
          <w:lang w:val="en-US"/>
        </w:rPr>
        <w:t>&lt;*&gt;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1202,929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1207,809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1211,769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1.3.2.- имеющие целевое назначение </w:t>
      </w:r>
      <w:r>
        <w:rPr>
          <w:rFonts w:ascii="arial"/>
          <w:color w:val="000000"/>
          <w:sz w:val="18"/>
          <w:rtl w:val="off"/>
          <w:lang w:val="en-US"/>
        </w:rPr>
        <w:t>HYPERLINK "file:///\\\\192.168.168.2\\obmen\\Управление%20делами\\Романова\\Финансы\\ПОСТАНОВЛЕНИЯ%20бюджетный%20прогноз%20(2).doc" \l "Par263" \o "Ссылка на текущий документ"</w:t>
      </w:r>
      <w:r>
        <w:rPr>
          <w:rFonts w:ascii="times new roman"/>
          <w:color w:val="000000"/>
          <w:sz w:val="18"/>
          <w:u w:val="single"/>
          <w:rtl w:val="off"/>
          <w:lang w:val="en-US"/>
        </w:rPr>
        <w:t>&lt;*&gt;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525,190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550,130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570,530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бюджета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всего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24825,619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25660,139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27288,299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том числе: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за счет средств бюджета, не имеющих целевого назначения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24300,429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25110,009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26717,769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2.2.- за счет средств безвозмездных поступлений, имеющих целевое назначение </w:t>
      </w:r>
      <w:r>
        <w:rPr>
          <w:rFonts w:ascii="arial"/>
          <w:color w:val="000000"/>
          <w:sz w:val="18"/>
          <w:rtl w:val="off"/>
          <w:lang w:val="en-US"/>
        </w:rPr>
        <w:t>HYPERLINK "file:///\\\\192.168.168.2\\obmen\\Управление%20делами\\Романова\\Финансы\\ПОСТАНОВЛЕНИЯ%20бюджетный%20прогноз%20(2).doc" \l "Par263" \o "Ссылка на текущий документ"</w:t>
      </w:r>
      <w:r>
        <w:rPr>
          <w:rFonts w:ascii="times new roman"/>
          <w:color w:val="000000"/>
          <w:sz w:val="18"/>
          <w:u w:val="single"/>
          <w:rtl w:val="off"/>
          <w:lang w:val="en-US"/>
        </w:rPr>
        <w:t>&lt;*&gt;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525,190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550,130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570,530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Дефицит (профицит) бюджета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-2082,500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-2155,200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-2301,000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Отношение дефицита бюджета к общему годовому объему доходов бюджета города без учета объема безвозмездных поступлений (в процентах)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10%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10%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10%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Источники финансирования дефицита бюджета - всего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том числе: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5.1. - 5.n.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указывается состав источников финансирования дефицита бюджета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Объем расходов на обслуживание муниципального долга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9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--------------------------------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&lt;*&gt; Показатели заполняются при наличии соответствующих данных.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