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widowControl w:val="1"/>
        <w:spacing w:line="240" w:lineRule="auto"/>
        <w:ind/>
        <w:jc w:val="center"/>
        <w:rPr>
          <w:b w:val="1"/>
          <w:sz w:val="28"/>
        </w:rPr>
      </w:pPr>
      <w:r>
        <w:rPr>
          <w:b w:val="1"/>
          <w:sz w:val="28"/>
        </w:rPr>
        <w:t>«Отцовский капкан»: ответственность родителей за цифровой след ребенка</w:t>
      </w:r>
    </w:p>
    <w:p w14:paraId="02000000">
      <w:pPr>
        <w:widowControl w:val="1"/>
        <w:spacing w:line="240" w:lineRule="auto"/>
        <w:ind/>
        <w:jc w:val="both"/>
        <w:rPr>
          <w:sz w:val="28"/>
        </w:rPr>
      </w:pPr>
    </w:p>
    <w:p w14:paraId="03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Контроль за виртуальной жизнью ребенка — это не только право, но и обязанность, за неисполнение которой предусмотрена юридическая ответственность. При этом закон проводит тонкую грань между защитой ребенка и вторжением в его личную жизнь, создавая для родителей своеобразный «капкан».</w:t>
      </w:r>
    </w:p>
    <w:p w14:paraId="04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Закон прямо возлагает на родителей обязанность по воспитанию, содержанию и обеспечению безопасности несовершеннолетних. За ненадлежащее исполнение этих обязанностей наряду с гражданской и административной предусмотрена уголовная ответственность.</w:t>
      </w:r>
    </w:p>
    <w:p w14:paraId="05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Ключевой состав преступления, который может быть применен к родителям в связи с цифровым следом ребенка, — статья 156 УК РФ «Неисполнение обязанностей по воспитанию несовершеннолетнего». Она предусматривает наказание вплоть до лишения свободы на срок до трех лет, если неисполнение обязанностей соединено с жестоким обращением. Под жестоким обращением может пониматься, в частности, систематическое оставление ребенка без присмотра </w:t>
      </w:r>
      <w:r>
        <w:rPr>
          <w:sz w:val="28"/>
        </w:rPr>
        <w:br/>
      </w:r>
      <w:r>
        <w:rPr>
          <w:sz w:val="28"/>
        </w:rPr>
        <w:t xml:space="preserve">в сети «Интернет», где он подвергается опасности (кибербуллинг, доступ </w:t>
      </w:r>
      <w:r>
        <w:rPr>
          <w:sz w:val="28"/>
        </w:rPr>
        <w:br/>
      </w:r>
      <w:r>
        <w:rPr>
          <w:sz w:val="28"/>
        </w:rPr>
        <w:t>к деструктивному контенту, знакомство с мошенниками).</w:t>
      </w:r>
    </w:p>
    <w:p w14:paraId="06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Кроме того, с 2025 года ужесточена ответственность за вовлечение несовершеннолетних в совершение преступлений или антиобщественных действий </w:t>
      </w:r>
      <w:r>
        <w:rPr>
          <w:sz w:val="28"/>
        </w:rPr>
        <w:br/>
      </w:r>
      <w:r>
        <w:rPr>
          <w:sz w:val="28"/>
        </w:rPr>
        <w:t>с использованием «И</w:t>
      </w:r>
      <w:r>
        <w:rPr>
          <w:sz w:val="28"/>
        </w:rPr>
        <w:t>нтернета». Согласно новым редакциям статей 150 и 151 УК РФ, за такие действия родителям грозит лишение свободы на срок от 3 до 6 лет .</w:t>
      </w:r>
    </w:p>
    <w:p w14:paraId="07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Таким образом, игнорирование родителями цифровой безопасности ребенка может быть расценено как неисполнение воспитательных обязанностей </w:t>
      </w:r>
      <w:r>
        <w:rPr>
          <w:sz w:val="28"/>
        </w:rPr>
        <w:br/>
      </w:r>
      <w:r>
        <w:rPr>
          <w:sz w:val="28"/>
        </w:rPr>
        <w:t>с юридическими последствиями.</w:t>
      </w:r>
    </w:p>
    <w:p w14:paraId="08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Однако существует и обратная сторона медали. </w:t>
      </w:r>
    </w:p>
    <w:p w14:paraId="09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 xml:space="preserve">Родительский контроль имеет пределы, установленные правом </w:t>
      </w:r>
      <w:r>
        <w:rPr>
          <w:sz w:val="28"/>
        </w:rPr>
        <w:br/>
      </w:r>
      <w:r>
        <w:rPr>
          <w:sz w:val="28"/>
        </w:rPr>
        <w:t xml:space="preserve">на неприкосновенность частной жизни. Статья 137 УК РФ запрещает незаконное собирание или распространение сведений о частной жизни лица, составляющих </w:t>
      </w:r>
      <w:r>
        <w:rPr>
          <w:sz w:val="28"/>
        </w:rPr>
        <w:br/>
      </w:r>
      <w:r>
        <w:rPr>
          <w:sz w:val="28"/>
        </w:rPr>
        <w:t>его личную или семейную тайну, без его согласия.</w:t>
      </w:r>
    </w:p>
    <w:p w14:paraId="0A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Р</w:t>
      </w:r>
      <w:r>
        <w:rPr>
          <w:sz w:val="28"/>
        </w:rPr>
        <w:t xml:space="preserve">одитель, использующий программы контроля для прослушки, может подпадать под эту статью. Однако Президиум Верховного Суда Российской Федерации в постановлении от 26.06.2024 разъяснил, что использование родительского контроля не является преступлением, если оно осуществляется </w:t>
      </w:r>
      <w:r>
        <w:rPr>
          <w:sz w:val="28"/>
        </w:rPr>
        <w:br/>
      </w:r>
      <w:r>
        <w:rPr>
          <w:sz w:val="28"/>
        </w:rPr>
        <w:t>в целях обеспечения безопасности ребенка и при отсутствии прямого умысла на сбор сведений о частной жизни других лиц.</w:t>
      </w:r>
    </w:p>
    <w:p w14:paraId="0B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Изображение несовершеннолетнего, его биометрические данные — это персональные данные, охраняемые законом. Без согласия родителей (законных представителей) публикация фото ребенка незаконна. Это установлено ст. 152.1 Гражданского кодекса Российской Федерации и Федеральным законом от 27.07.2006 № 152-ФЗ «О персональных данных».</w:t>
      </w:r>
    </w:p>
    <w:p w14:paraId="0C000000">
      <w:pPr>
        <w:widowControl w:val="1"/>
        <w:spacing w:line="240" w:lineRule="auto"/>
        <w:ind w:firstLine="709"/>
        <w:jc w:val="both"/>
        <w:rPr>
          <w:sz w:val="28"/>
        </w:rPr>
      </w:pPr>
      <w:r>
        <w:rPr>
          <w:sz w:val="28"/>
        </w:rPr>
        <w:t>Родитель несет двойную ответственность: он должен контролировать цифровую жизнь ребенка, чтобы защитить его от угроз (статьи 156, 150, 151 УК РФ), но при этом не имеет права нарушать его право на частную жизнь и злоупотреблять полученной информацией (статья 137 УК РФ). Законодательство поддерживает баланс, позволяя применять средства контроля, но только с добросовестной целью обеспечения безопасности .</w:t>
      </w:r>
    </w:p>
    <w:sectPr>
      <w:pgSz w:h="16848" w:orient="portrait" w:w="11908"/>
      <w:pgMar w:bottom="549" w:footer="708" w:gutter="0" w:header="708" w:left="1134" w:right="567" w:top="709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160" w:before="0" w:line="259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widowControl w:val="1"/>
      <w:spacing w:after="0" w:line="240" w:lineRule="auto"/>
      <w:ind/>
    </w:pPr>
    <w:rPr>
      <w:rFonts w:ascii="Times New Roman" w:hAnsi="Times New Roman"/>
      <w:sz w:val="24"/>
    </w:rPr>
  </w:style>
  <w:style w:default="1" w:styleId="Style_1_ch" w:type="character">
    <w:name w:val="Normal"/>
    <w:link w:val="Style_1"/>
    <w:rPr>
      <w:rFonts w:ascii="Times New Roman" w:hAnsi="Times New Roman"/>
      <w:sz w:val="24"/>
    </w:rPr>
  </w:style>
  <w:style w:styleId="Style_2" w:type="paragraph">
    <w:name w:val="toc 2"/>
    <w:next w:val="Style_1"/>
    <w:link w:val="Style_2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2_ch" w:type="character">
    <w:name w:val="toc 2"/>
    <w:link w:val="Style_2"/>
    <w:rPr>
      <w:rFonts w:ascii="XO Thames" w:hAnsi="XO Thames"/>
      <w:sz w:val="28"/>
    </w:rPr>
  </w:style>
  <w:style w:styleId="Style_3" w:type="paragraph">
    <w:name w:val="toc 4"/>
    <w:next w:val="Style_1"/>
    <w:link w:val="Style_3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3_ch" w:type="character">
    <w:name w:val="toc 4"/>
    <w:link w:val="Style_3"/>
    <w:rPr>
      <w:rFonts w:ascii="XO Thames" w:hAnsi="XO Thames"/>
      <w:sz w:val="28"/>
    </w:rPr>
  </w:style>
  <w:style w:styleId="Style_4" w:type="paragraph">
    <w:name w:val="toc 6"/>
    <w:next w:val="Style_1"/>
    <w:link w:val="Style_4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4_ch" w:type="character">
    <w:name w:val="toc 6"/>
    <w:link w:val="Style_4"/>
    <w:rPr>
      <w:rFonts w:ascii="XO Thames" w:hAnsi="XO Thames"/>
      <w:sz w:val="28"/>
    </w:rPr>
  </w:style>
  <w:style w:styleId="Style_5" w:type="paragraph">
    <w:name w:val="toc 7"/>
    <w:next w:val="Style_1"/>
    <w:link w:val="Style_5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5_ch" w:type="character">
    <w:name w:val="toc 7"/>
    <w:link w:val="Style_5"/>
    <w:rPr>
      <w:rFonts w:ascii="XO Thames" w:hAnsi="XO Thames"/>
      <w:sz w:val="28"/>
    </w:rPr>
  </w:style>
  <w:style w:styleId="Style_6" w:type="paragraph">
    <w:name w:val="Endnote"/>
    <w:link w:val="Style_6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6_ch" w:type="character">
    <w:name w:val="Endnote"/>
    <w:link w:val="Style_6"/>
    <w:rPr>
      <w:rFonts w:ascii="XO Thames" w:hAnsi="XO Thames"/>
      <w:sz w:val="22"/>
    </w:rPr>
  </w:style>
  <w:style w:styleId="Style_7" w:type="paragraph">
    <w:name w:val="heading 3"/>
    <w:next w:val="Style_1"/>
    <w:link w:val="Style_7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7_ch" w:type="character">
    <w:name w:val="heading 3"/>
    <w:link w:val="Style_7"/>
    <w:rPr>
      <w:rFonts w:ascii="XO Thames" w:hAnsi="XO Thames"/>
      <w:b w:val="1"/>
      <w:sz w:val="26"/>
    </w:rPr>
  </w:style>
  <w:style w:styleId="Style_8" w:type="paragraph">
    <w:name w:val="Default Paragraph Font"/>
    <w:link w:val="Style_8_ch"/>
  </w:style>
  <w:style w:styleId="Style_8_ch" w:type="character">
    <w:name w:val="Default Paragraph Font"/>
    <w:link w:val="Style_8"/>
  </w:style>
  <w:style w:styleId="Style_9" w:type="paragraph">
    <w:name w:val="toc 3"/>
    <w:next w:val="Style_1"/>
    <w:link w:val="Style_9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9_ch" w:type="character">
    <w:name w:val="toc 3"/>
    <w:link w:val="Style_9"/>
    <w:rPr>
      <w:rFonts w:ascii="XO Thames" w:hAnsi="XO Thames"/>
      <w:sz w:val="28"/>
    </w:rPr>
  </w:style>
  <w:style w:styleId="Style_10" w:type="paragraph">
    <w:name w:val="footnote reference"/>
    <w:basedOn w:val="Style_8"/>
    <w:link w:val="Style_10_ch"/>
    <w:rPr>
      <w:vertAlign w:val="superscript"/>
    </w:rPr>
  </w:style>
  <w:style w:styleId="Style_10_ch" w:type="character">
    <w:name w:val="footnote reference"/>
    <w:basedOn w:val="Style_8_ch"/>
    <w:link w:val="Style_10"/>
    <w:rPr>
      <w:vertAlign w:val="superscript"/>
    </w:rPr>
  </w:style>
  <w:style w:styleId="Style_11" w:type="paragraph">
    <w:name w:val="heading 5"/>
    <w:next w:val="Style_1"/>
    <w:link w:val="Style_11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1_ch" w:type="character">
    <w:name w:val="heading 5"/>
    <w:link w:val="Style_11"/>
    <w:rPr>
      <w:rFonts w:ascii="XO Thames" w:hAnsi="XO Thames"/>
      <w:b w:val="1"/>
      <w:sz w:val="22"/>
    </w:rPr>
  </w:style>
  <w:style w:styleId="Style_12" w:type="paragraph">
    <w:name w:val="heading 1"/>
    <w:next w:val="Style_1"/>
    <w:link w:val="Style_12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2_ch" w:type="character">
    <w:name w:val="heading 1"/>
    <w:link w:val="Style_12"/>
    <w:rPr>
      <w:rFonts w:ascii="XO Thames" w:hAnsi="XO Thames"/>
      <w:b w:val="1"/>
      <w:sz w:val="32"/>
    </w:rPr>
  </w:style>
  <w:style w:styleId="Style_13" w:type="paragraph">
    <w:name w:val="Hyperlink"/>
    <w:link w:val="Style_13_ch"/>
    <w:rPr>
      <w:color w:val="0000FF"/>
      <w:u w:val="single"/>
    </w:rPr>
  </w:style>
  <w:style w:styleId="Style_13_ch" w:type="character">
    <w:name w:val="Hyperlink"/>
    <w:link w:val="Style_13"/>
    <w:rPr>
      <w:color w:val="0000FF"/>
      <w:u w:val="single"/>
    </w:rPr>
  </w:style>
  <w:style w:styleId="Style_14" w:type="paragraph">
    <w:name w:val="Footnote"/>
    <w:basedOn w:val="Style_1"/>
    <w:link w:val="Style_14_ch"/>
    <w:rPr>
      <w:sz w:val="20"/>
    </w:rPr>
  </w:style>
  <w:style w:styleId="Style_14_ch" w:type="character">
    <w:name w:val="Footnote"/>
    <w:basedOn w:val="Style_1_ch"/>
    <w:link w:val="Style_14"/>
    <w:rPr>
      <w:sz w:val="20"/>
    </w:rPr>
  </w:style>
  <w:style w:styleId="Style_15" w:type="paragraph">
    <w:name w:val="toc 1"/>
    <w:next w:val="Style_1"/>
    <w:link w:val="Style_15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15_ch" w:type="character">
    <w:name w:val="toc 1"/>
    <w:link w:val="Style_15"/>
    <w:rPr>
      <w:rFonts w:ascii="XO Thames" w:hAnsi="XO Thames"/>
      <w:b w:val="1"/>
      <w:sz w:val="28"/>
    </w:rPr>
  </w:style>
  <w:style w:styleId="Style_16" w:type="paragraph">
    <w:name w:val="Header and Footer"/>
    <w:link w:val="Style_16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16_ch" w:type="character">
    <w:name w:val="Header and Footer"/>
    <w:link w:val="Style_16"/>
    <w:rPr>
      <w:rFonts w:ascii="XO Thames" w:hAnsi="XO Thames"/>
      <w:sz w:val="28"/>
    </w:rPr>
  </w:style>
  <w:style w:styleId="Style_17" w:type="paragraph">
    <w:name w:val="toc 9"/>
    <w:next w:val="Style_1"/>
    <w:link w:val="Style_17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17_ch" w:type="character">
    <w:name w:val="toc 9"/>
    <w:link w:val="Style_17"/>
    <w:rPr>
      <w:rFonts w:ascii="XO Thames" w:hAnsi="XO Thames"/>
      <w:sz w:val="28"/>
    </w:rPr>
  </w:style>
  <w:style w:styleId="Style_18" w:type="paragraph">
    <w:name w:val="toc 8"/>
    <w:next w:val="Style_1"/>
    <w:link w:val="Style_1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18_ch" w:type="character">
    <w:name w:val="toc 8"/>
    <w:link w:val="Style_18"/>
    <w:rPr>
      <w:rFonts w:ascii="XO Thames" w:hAnsi="XO Thames"/>
      <w:sz w:val="28"/>
    </w:rPr>
  </w:style>
  <w:style w:styleId="Style_19" w:type="paragraph">
    <w:name w:val="toc 5"/>
    <w:next w:val="Style_1"/>
    <w:link w:val="Style_1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19_ch" w:type="character">
    <w:name w:val="toc 5"/>
    <w:link w:val="Style_19"/>
    <w:rPr>
      <w:rFonts w:ascii="XO Thames" w:hAnsi="XO Thames"/>
      <w:sz w:val="28"/>
    </w:rPr>
  </w:style>
  <w:style w:styleId="Style_20" w:type="paragraph">
    <w:name w:val="Normal (Web)"/>
    <w:basedOn w:val="Style_1"/>
    <w:link w:val="Style_20_ch"/>
    <w:pPr>
      <w:widowControl w:val="1"/>
      <w:spacing w:afterAutospacing="on" w:beforeAutospacing="on"/>
      <w:ind/>
    </w:pPr>
  </w:style>
  <w:style w:styleId="Style_20_ch" w:type="character">
    <w:name w:val="Normal (Web)"/>
    <w:basedOn w:val="Style_1_ch"/>
    <w:link w:val="Style_20"/>
  </w:style>
  <w:style w:styleId="Style_21" w:type="paragraph">
    <w:name w:val="Subtitle"/>
    <w:next w:val="Style_1"/>
    <w:link w:val="Style_2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21_ch" w:type="character">
    <w:name w:val="Subtitle"/>
    <w:link w:val="Style_21"/>
    <w:rPr>
      <w:rFonts w:ascii="XO Thames" w:hAnsi="XO Thames"/>
      <w:i w:val="1"/>
      <w:sz w:val="24"/>
    </w:rPr>
  </w:style>
  <w:style w:styleId="Style_22" w:type="paragraph">
    <w:name w:val="Title"/>
    <w:next w:val="Style_1"/>
    <w:link w:val="Style_2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2_ch" w:type="character">
    <w:name w:val="Title"/>
    <w:link w:val="Style_22"/>
    <w:rPr>
      <w:rFonts w:ascii="XO Thames" w:hAnsi="XO Thames"/>
      <w:b w:val="1"/>
      <w:caps w:val="1"/>
      <w:sz w:val="40"/>
    </w:rPr>
  </w:style>
  <w:style w:styleId="Style_23" w:type="paragraph">
    <w:name w:val="heading 4"/>
    <w:next w:val="Style_1"/>
    <w:link w:val="Style_2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3_ch" w:type="character">
    <w:name w:val="heading 4"/>
    <w:link w:val="Style_23"/>
    <w:rPr>
      <w:rFonts w:ascii="XO Thames" w:hAnsi="XO Thames"/>
      <w:b w:val="1"/>
      <w:sz w:val="24"/>
    </w:rPr>
  </w:style>
  <w:style w:styleId="Style_24" w:type="paragraph">
    <w:name w:val="heading 2"/>
    <w:next w:val="Style_1"/>
    <w:link w:val="Style_24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4_ch" w:type="character">
    <w:name w:val="heading 2"/>
    <w:link w:val="Style_24"/>
    <w:rPr>
      <w:rFonts w:ascii="XO Thames" w:hAnsi="XO Thames"/>
      <w:b w:val="1"/>
      <w:sz w:val="28"/>
    </w:rPr>
  </w:style>
  <w:style w:styleId="Style_25" w:type="paragraph">
    <w:name w:val="List Paragraph"/>
    <w:basedOn w:val="Style_1"/>
    <w:link w:val="Style_25_ch"/>
    <w:pPr>
      <w:widowControl w:val="1"/>
      <w:ind w:left="720"/>
      <w:contextualSpacing w:val="1"/>
    </w:pPr>
  </w:style>
  <w:style w:styleId="Style_25_ch" w:type="character">
    <w:name w:val="List Paragraph"/>
    <w:basedOn w:val="Style_1_ch"/>
    <w:link w:val="Style_25"/>
  </w:style>
  <w:style w:default="1" w:styleId="Style_2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2026-06-19T01:34:03Z</dcterms:created>
  <dcterms:modified xsi:type="dcterms:W3CDTF">2026-06-19T01:49:53Z</dcterms:modified>
</cp:coreProperties>
</file>