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Реализации проекта «Хоккейная коробка Юниор – 1» территориального общественного самоуправления завершена.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результате реализации проекта в коттеждном поселке «Солнечная поляна» построена хоккейная коробка для взрослых и детей с теплой раздевалкой.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Итоговая стоимость работ по строительству хоккейной коробки составила 703420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Средства краевого бюджета 383 530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Вклад жителей ТОС составил 319 890 рублей.</w:t>
      </w:r>
    </w:p>
    <w:p>
      <w:pPr>
        <w:rPr/>
      </w:pPr>
    </w:p>
    <w:p>
      <w:r>
        <w:rPr>
          <w:lang w:val="ru-RU"/>
        </w:rPr>
        <w:t>На этом ТОС «Солнечная поляна» не собирается останавливаться. Председатель ТОС уже озвучил несколько интересных идей для создания следующего проекта по благоустройству территории ТОС.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