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14.06.2018 № 67-187</w:t>
      </w:r>
    </w:p>
    <w:p>
      <w:pPr>
        <w:rPr/>
      </w:pPr>
    </w:p>
    <w:p>
      <w:pPr>
        <w:rPr/>
      </w:pPr>
      <w:r>
        <w:t xml:space="preserve"> 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 следующие изменения:</w:t>
      </w: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2018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17 600,342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7 890,342 тыс. рублей, в том числе безвозмездные поступления из других бюджетов – 7 890,342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20 871,758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           9 710,000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3271,416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2019 год:</w:t>
      </w: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        15 542,038 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2020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182,300 тыс. рублей, на 2019 год в сумме 0,000 тыс. рублей, на 2020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944,00 тыс. рублей, на 2019 год в сумме 565,00 тыс. рублей, на 2020 год в сумме 616,00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1349,000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7890,342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7890,342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2 02 200000 00 0000 151</w:t>
      </w:r>
    </w:p>
    <w:p>
      <w:pPr>
        <w:rPr/>
      </w:pPr>
    </w:p>
    <w:p>
      <w:pPr>
        <w:rPr/>
      </w:pPr>
      <w:r>
        <w:t xml:space="preserve">  Субсидии бюджетам бюджетной системы Российской Федерации (межбюджетные субсидии)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1829,186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2 02 25555 00 0000 151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2 02 25555 10 0000 151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2 02 29999 00 0000 151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субсидии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985,286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субсидии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985,286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219,930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1962,936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1962,936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17600,342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2400100000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240010С310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240010С310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240010С310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1054,876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дворовых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дворовых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1489,296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Премии и гранты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313,290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 по муниципальным программам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3052,052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/>
      </w:pPr>
      <w:r>
        <w:t xml:space="preserve">  981,260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219,930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141,550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42,750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11035,216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освещения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6718,575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3908,803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3908,803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3002,155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906,648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2196,626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2196,626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2163,126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460,173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138,973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20871,758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14142,583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6916,040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981,260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5774,780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240010С310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240010С310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240010С310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5554,300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Специальные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217,730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141,550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42,750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5091,513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4801,513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2197,341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1476,241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1054,876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дворовых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140,651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дворовых 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446,940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70,325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39002R555A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1489,296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Премии и гранты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проектов развития муниц.образ.края, основанных на местных инициативах граждан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290010С580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муниципальных служащих в рамках непрограммных расходов органов местного самоуправления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/>
      </w:pPr>
      <w:r>
        <w:t xml:space="preserve"> 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6729,175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6729,175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6718,575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6119,429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3908,803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3908,803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3002,155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906,648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2196,626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2196,626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2163,126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599,146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460,173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138,973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20871,758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-17 600, 342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-17 600, 342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20 871,758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20 871,758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