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14.06.2018 № 67-186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 о местных налогах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Уставом Мирненского сельского поселения, Бюджетным кодексом Российской Федерации и Налоговым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Положение о местных налогах на территории Мирненского сельского поселения Хабаровского муниципального района Хабаровского края (прилагается).</w:t>
      </w:r>
    </w:p>
    <w:p>
      <w:pPr>
        <w:rPr>
          <w:lang w:val="ru-RU"/>
        </w:rPr>
      </w:pPr>
      <w:r>
        <w:rPr>
          <w:lang w:val="ru-RU"/>
        </w:rPr>
        <w:t>2.Признать утратившими силу решения Совета депутатов Мирненского сельского поселения Хабаровского муниципального района Хабаровского края: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от 11.11.2014 № 14-46 «Об утверждении Положения о местных налогах на территории Мирненского сельского поселения»;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от 04.08.2016 № 39-112 «О внесении изменений в Положение о местных налогах на территории Мирненского сельского поселения»;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от 02.11.2017 № 57-156 «О внесении изменений в Положение о местных налогах на территории Мирненского сельского поселения»;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от 19.04.2018 № 66-182 «О внесении изменений в Положение о местных налогах на территории Мирненского сельского поселения».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4. Настоящее решение вступает в силу с 01 января 2019 года, но не ранее, чем по истечении одного месяца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14.06.2018 №67-186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местных налогах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ОБЩИЕ ПОЛОЖЕНИЯ</w:t>
      </w: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        1.1. На территории Мирненского сельского поселения Хабаровского муниципального района Хабаровского края (далее-сельское поселение) вводятся следующие местные налоги:</w:t>
      </w:r>
    </w:p>
    <w:p>
      <w:pPr>
        <w:rPr/>
      </w:pPr>
    </w:p>
    <w:p>
      <w:pPr>
        <w:rPr/>
      </w:pPr>
      <w:r>
        <w:t xml:space="preserve">         1) земельный налог;</w:t>
      </w:r>
    </w:p>
    <w:p>
      <w:pPr>
        <w:rPr/>
      </w:pPr>
    </w:p>
    <w:p>
      <w:pPr>
        <w:rPr/>
      </w:pPr>
      <w:r>
        <w:t xml:space="preserve">         2) налог на имущество физических лиц.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ЗЕМЕЛЬНЫЙ НАЛОГ</w:t>
      </w:r>
    </w:p>
    <w:p>
      <w:pPr>
        <w:rPr/>
      </w:pPr>
      <w:r>
        <w:t xml:space="preserve">         2.1. Земельный налог устанавливается и вводится в соответствии с главой 31 «Земельный налог» Налогового кодекса Российской Федерации (далее - Налоговый кодекс).</w:t>
      </w:r>
    </w:p>
    <w:p>
      <w:pPr>
        <w:rPr/>
      </w:pPr>
    </w:p>
    <w:p>
      <w:pPr>
        <w:rPr/>
      </w:pPr>
      <w:r>
        <w:t xml:space="preserve">         2.2. Порядок доведения информации о кадастровой стоимости земельных участков до налогоплательщиков:</w:t>
      </w:r>
    </w:p>
    <w:p>
      <w:pPr>
        <w:rPr/>
      </w:pPr>
    </w:p>
    <w:p>
      <w:pPr>
        <w:rPr/>
      </w:pPr>
      <w:r>
        <w:t xml:space="preserve">         2.2.1. Администрация сельского поселения ежегодно, до 1 марта налогового периода публикует в средствах массовой  информации сведения о кадастровой стоимости земельных участков по состоянию на 1 января текущего года.</w:t>
      </w:r>
    </w:p>
    <w:p>
      <w:pPr>
        <w:rPr/>
      </w:pPr>
    </w:p>
    <w:p>
      <w:pPr>
        <w:rPr/>
      </w:pPr>
      <w:r>
        <w:t xml:space="preserve">         2.3. Налоговые ставки устанавливаются в следующих размерах:</w:t>
      </w:r>
    </w:p>
    <w:p>
      <w:pPr>
        <w:rPr/>
      </w:pPr>
    </w:p>
    <w:p>
      <w:pPr>
        <w:rPr/>
      </w:pPr>
      <w:r>
        <w:t xml:space="preserve">         2.3.1. 0,3 процента в отношении земельных участков:</w:t>
      </w:r>
    </w:p>
    <w:p>
      <w:pPr>
        <w:rPr/>
      </w:pPr>
    </w:p>
    <w:p>
      <w:pPr>
        <w:rPr/>
      </w:pPr>
      <w:r>
        <w:t xml:space="preserve">         1) отнесенных к землям сельскохозяйственного назначения или к землям, в составе зон сельскохозяйственного использования в сельском поселении и используемых для сельскохозяйственного производства;</w:t>
      </w:r>
    </w:p>
    <w:p>
      <w:pPr>
        <w:rPr/>
      </w:pPr>
    </w:p>
    <w:p>
      <w:pPr>
        <w:rPr/>
      </w:pPr>
      <w:r>
        <w:t xml:space="preserve">         2)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объектам инженерной инфраструктуры жилищно-коммунального комплекса) или, предоставленных для жилищного строительства;</w:t>
      </w:r>
    </w:p>
    <w:p>
      <w:pPr>
        <w:rPr/>
      </w:pPr>
    </w:p>
    <w:p>
      <w:pPr>
        <w:rPr/>
      </w:pPr>
      <w:r>
        <w:t xml:space="preserve">         3) предоставленных для личного подсобного хозяйства, садоводства, огородничества или животноводства.</w:t>
      </w:r>
    </w:p>
    <w:p>
      <w:pPr>
        <w:rPr/>
      </w:pPr>
    </w:p>
    <w:p>
      <w:pPr>
        <w:rPr/>
      </w:pPr>
      <w:r>
        <w:t xml:space="preserve">         2.3.2. 1,5 процента в отношении земельных участков предназначенных для объектов образования, здравоохранения и социального обеспечения, физической культуры и спорта, культуры.</w:t>
      </w:r>
    </w:p>
    <w:p>
      <w:pPr>
        <w:rPr/>
      </w:pPr>
    </w:p>
    <w:p>
      <w:pPr>
        <w:rPr/>
      </w:pPr>
      <w:r>
        <w:t xml:space="preserve">         2.3.3. 1,5 процента в отношении прочих земельных участков.</w:t>
      </w:r>
    </w:p>
    <w:p>
      <w:pPr>
        <w:rPr/>
      </w:pPr>
    </w:p>
    <w:p>
      <w:pPr>
        <w:rPr/>
      </w:pPr>
      <w:r>
        <w:t xml:space="preserve">         2.3.4. Если единый земельный участок предоставлен для различных видов разрешенного использования, применяется максимальная ставка из ставок, установленных для видов разрешенного использования, осуществляемых на данном земельном участке.</w:t>
      </w:r>
    </w:p>
    <w:p>
      <w:pPr>
        <w:rPr/>
      </w:pPr>
    </w:p>
    <w:p>
      <w:pPr>
        <w:rPr/>
      </w:pPr>
      <w:r>
        <w:t xml:space="preserve">         2.3.5. 0,5 процента в отношении земельных участков для пользователей объектов инвестиционной деятельности, осуществляемой в форме капитальных вложений сроком на 5 лет с момента заключения инвестиционного контракта. В случае досрочного прекращения действия инвестиционного контракта преференция по налогу аннулируется.</w:t>
      </w:r>
    </w:p>
    <w:p>
      <w:pPr>
        <w:rPr/>
      </w:pPr>
    </w:p>
    <w:p>
      <w:pPr>
        <w:rPr/>
      </w:pPr>
      <w:r>
        <w:t xml:space="preserve">         2.4. Порядок и сроки уплаты налога:</w:t>
      </w:r>
    </w:p>
    <w:p>
      <w:pPr>
        <w:rPr/>
      </w:pPr>
    </w:p>
    <w:p>
      <w:pPr>
        <w:rPr/>
      </w:pPr>
      <w:r>
        <w:t xml:space="preserve">         2.4.1. Налогоплательщики-организации и налогоплательщики- физические лица, являющиеся индивидуальными предпринимателями, в течение налогового периода исчисляют и уплачивают авансовые платежи по налогу самостоятельно.</w:t>
      </w:r>
    </w:p>
    <w:p>
      <w:pPr>
        <w:rPr/>
      </w:pPr>
    </w:p>
    <w:p>
      <w:pPr>
        <w:rPr/>
      </w:pPr>
      <w:r>
        <w:t xml:space="preserve">         Авансовые платежи по налогу уплачиваются в срок не позднее 15 числа второго месяца квартала, следующего за истекшим отчетным периодом.</w:t>
      </w:r>
    </w:p>
    <w:p>
      <w:pPr>
        <w:rPr/>
      </w:pPr>
    </w:p>
    <w:p>
      <w:pPr>
        <w:rPr/>
      </w:pPr>
      <w:r>
        <w:t xml:space="preserve">         Налог, подлежащий уплате по истечении налогового периода, уплачивается на основании налоговой декларации, в срок не позднее 10 марта года, следующего за истекшим налоговым периодом.</w:t>
      </w:r>
    </w:p>
    <w:p>
      <w:pPr>
        <w:rPr/>
      </w:pPr>
    </w:p>
    <w:p>
      <w:pPr>
        <w:rPr/>
      </w:pPr>
      <w:r>
        <w:t xml:space="preserve">         2.4.2. Налогоплательщики – физические лица, не являющиеся индивидуальными предпринимателями, по итогам налогового периода уплачивают налог в срок не позднее 01 октября года, следующего за истекшим налоговым периодом.</w:t>
      </w:r>
    </w:p>
    <w:p>
      <w:pPr>
        <w:rPr/>
      </w:pPr>
    </w:p>
    <w:p>
      <w:pPr>
        <w:rPr/>
      </w:pPr>
      <w:r>
        <w:t xml:space="preserve">         Налогоплательщики, являющиеся физическими лицами, уплачивают налог на основании налогового уведомления, направленного налоговым органом в размере ставки, установленной в соответствии с пунктом 3 настоящего положения.</w:t>
      </w:r>
    </w:p>
    <w:p>
      <w:pPr>
        <w:rPr/>
      </w:pPr>
    </w:p>
    <w:p>
      <w:pPr>
        <w:rPr/>
      </w:pPr>
      <w:r>
        <w:t xml:space="preserve">      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НАЛОГ НА ИМУЩЕСТВО ФИЗИЧЕСКИХ ЛИЦ</w:t>
      </w:r>
    </w:p>
    <w:p>
      <w:pPr>
        <w:rPr>
          <w:lang w:val="ru-RU"/>
        </w:rPr>
      </w:pPr>
      <w:r>
        <w:rPr>
          <w:lang w:val="ru-RU"/>
        </w:rPr>
        <w:t>3.1. Общие положения</w:t>
      </w:r>
    </w:p>
    <w:p>
      <w:pPr>
        <w:rPr/>
      </w:pPr>
    </w:p>
    <w:p>
      <w:pPr>
        <w:rPr/>
      </w:pPr>
      <w:r>
        <w:t xml:space="preserve">         3.1.1. Настоящим Положением устанавливается и вводится на территории Мирненского сельского поселения налог на имущество физических лиц, определяются особенности определения налоговой базы  и налоговые ставки.</w:t>
      </w:r>
    </w:p>
    <w:p>
      <w:pPr>
        <w:rPr/>
      </w:pPr>
    </w:p>
    <w:p>
      <w:pPr>
        <w:rPr/>
      </w:pPr>
      <w:r>
        <w:t xml:space="preserve">         3.1.2. Налогоплательщики, объект налогообложения, налоговая база и порядок ее определения, налоговый период, порядок исчисления налога, порядок и сроки уплаты налога, а также налоговые льготы отдельным категориям налогоплательщиков установлены главой 32 Налогового кодекса Российской Федерации.</w:t>
      </w:r>
    </w:p>
    <w:p>
      <w:pPr>
        <w:rPr/>
      </w:pPr>
    </w:p>
    <w:p>
      <w:pPr>
        <w:rPr/>
      </w:pPr>
      <w:r>
        <w:t xml:space="preserve">         3.2. Особенности определения налоговой базы</w:t>
      </w:r>
    </w:p>
    <w:p>
      <w:pPr>
        <w:rPr/>
      </w:pPr>
    </w:p>
    <w:p>
      <w:pPr>
        <w:rPr/>
      </w:pPr>
      <w:r>
        <w:t xml:space="preserve">         Налоговая база определяется в соответствии со статьей 403 Налогового кодекса Российской Федерации.</w:t>
      </w:r>
    </w:p>
    <w:p>
      <w:pPr>
        <w:rPr/>
      </w:pPr>
    </w:p>
    <w:p>
      <w:pPr>
        <w:rPr/>
      </w:pPr>
      <w:r>
        <w:t xml:space="preserve">         3.3. Налоговые ставки</w:t>
      </w:r>
    </w:p>
    <w:p>
      <w:pPr>
        <w:rPr/>
      </w:pPr>
    </w:p>
    <w:p>
      <w:pPr>
        <w:rPr/>
      </w:pPr>
      <w:r>
        <w:t xml:space="preserve">         Налоговые ставки устанавливаются в следующих размерах:</w:t>
      </w:r>
    </w:p>
    <w:p>
      <w:pPr>
        <w:rPr/>
      </w:pPr>
    </w:p>
    <w:p>
      <w:pPr>
        <w:rPr/>
      </w:pPr>
      <w:r>
        <w:t>№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Налоговая ставка (в процентах)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Объекты налогообложения, кадастровая стоимость которого не превышает 300 миллионов рублей (включительно):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Жилое помещение (комната);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Жилое помещение (квартиры);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Жилой дом;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Гараж, машино-место;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Единый недвижимый комплекс, в состав которого входит хотя бы одно жилое помещение (жилой дом)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Хозяйственное строение 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садоводства, или индивидуального жилищного строительства;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незавершенного строительства в случае, если проектируемым назначением такого объекта является жилой дом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 налогообложения, включенный в перечень, определяемый в соответствии с пунктом 7 статьи 378.2 Налогового кодекса Российской Федерации, объект налогообложения, предусмотренный абзацем вторым пункта 10 статьи 378.2 Налогового кодекса Российской Федерации: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2017 году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2018 году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2019 году и последующие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1,6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Объекты налогообложения, кадастровая стоимость которого превышает 300 миллионов рублей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2,0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объекты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0,5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                 </w:t>
      </w:r>
    </w:p>
    <w:p>
      <w:pPr>
        <w:rPr/>
      </w:pPr>
    </w:p>
    <w:p>
      <w:pPr>
        <w:rPr/>
      </w:pPr>
      <w:r>
        <w:t xml:space="preserve">         3.4. Налоговые льготы по налогу</w:t>
      </w:r>
    </w:p>
    <w:p>
      <w:pPr>
        <w:rPr/>
      </w:pPr>
    </w:p>
    <w:p>
      <w:pPr>
        <w:rPr/>
      </w:pPr>
      <w:r>
        <w:t xml:space="preserve">         3.4.1. Право на налоговую льготу имеют категории налогоплательщиков, определенные главой 32 «Налог на имущество физических лиц» Налогового Кодекса Российской Федерации, а также:</w:t>
      </w:r>
    </w:p>
    <w:p>
      <w:pPr>
        <w:rPr/>
      </w:pPr>
    </w:p>
    <w:p>
      <w:pPr>
        <w:rPr/>
      </w:pPr>
      <w:r>
        <w:t xml:space="preserve">         1) многодетные семьи;</w:t>
      </w:r>
    </w:p>
    <w:p>
      <w:pPr>
        <w:rPr/>
      </w:pPr>
    </w:p>
    <w:p>
      <w:pPr>
        <w:rPr/>
      </w:pPr>
      <w:r>
        <w:t xml:space="preserve">         2) лица из числа малочисленных народов Севера.</w:t>
      </w:r>
    </w:p>
    <w:p>
      <w:pPr>
        <w:rPr/>
      </w:pPr>
    </w:p>
    <w:p>
      <w:pPr>
        <w:rPr/>
      </w:pPr>
      <w:r>
        <w:t xml:space="preserve">         Освобождение от уплаты налога предоставляется при условии представления налогоплательщиком в налоговые органы следующих документов:</w:t>
      </w:r>
    </w:p>
    <w:p>
      <w:pPr>
        <w:rPr/>
      </w:pPr>
    </w:p>
    <w:p>
      <w:pPr>
        <w:rPr/>
      </w:pPr>
      <w:r>
        <w:t xml:space="preserve">         - справки от Центра социальной поддержки населения, подтверждающей категорию «малообеспеченные граждане»;</w:t>
      </w:r>
    </w:p>
    <w:p>
      <w:pPr>
        <w:rPr/>
      </w:pPr>
    </w:p>
    <w:p>
      <w:pPr>
        <w:rPr/>
      </w:pPr>
      <w:r>
        <w:t xml:space="preserve">         - копии свидетельства о рождении детей – для многодетных семей.</w:t>
      </w:r>
    </w:p>
    <w:p>
      <w:pPr>
        <w:rPr/>
      </w:pPr>
    </w:p>
    <w:p>
      <w:pPr>
        <w:rPr/>
      </w:pPr>
      <w:r>
        <w:t xml:space="preserve">         3) дети-сироты и дети, оставшиеся без попечения родителей до достижения ими возраста 18 лет, а учащиеся из их числа старше 18 лет – до окончания учебы в учебных учреждениях по очной форме обучения, но не более чем до 23 лет.</w:t>
      </w:r>
    </w:p>
    <w:p>
      <w:pPr>
        <w:rPr/>
      </w:pPr>
    </w:p>
    <w:p>
      <w:r>
        <w:t xml:space="preserve">         3.4.2.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заявления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