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center"/>
        <w:rPr>
          <w:rFonts w:ascii="times new roman"/>
          <w:color w:val="000000"/>
          <w:sz w:val="21"/>
          <w:lang w:val="en-US"/>
        </w:rPr>
      </w:pPr>
      <w:r>
        <w:rPr>
          <w:rFonts w:ascii="times new roman"/>
          <w:b/>
          <w:color w:val="000000"/>
          <w:sz w:val="21"/>
          <w:rtl w:val="off"/>
          <w:lang w:val="en-US"/>
        </w:rPr>
        <w:t>Ответственность за незаконную реализацию SIM-карт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Необходимо помнить, что финансовая безопасность, в первую очередь, зависит от самих граждан. Любая продажа SIM-карт без заключения договора незаконна, при этом при покупке необходимо, чтобы клиент предъявил паспорт, а продавец являлся официальным представителем оператора сотовой 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xml:space="preserve">Граждане, приобретающие SIM-карты без предъявление своего паспорта и без оформления их на себя, должны помнить о том, что могут стать жертвой правонарушения. В последующем это может повлечь ряд проблем, связанных с обслуживанием такой карты, а также открытием доступа правонарушителям к банковским и лицевым счетам.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Так,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является составом административного правонарушения, предусмотренного ст. 13.29 КоАП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Такие деяния влекут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PAGE </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