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03.08.2017 № 53-146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границ территориального общественного самоуправления «Миряне»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        В соответствии со статьей 27 Федерального закона от 06.10.2003 №131-ФЗ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установлению границы территории,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прилагаемое описание границ территории, на которой осуществляется территориальное общественное самоуправление «Миряне».</w:t>
      </w:r>
    </w:p>
    <w:p>
      <w:pPr>
        <w:rPr>
          <w:lang w:val="ru-RU"/>
        </w:rPr>
      </w:pPr>
      <w:r>
        <w:rPr>
          <w:lang w:val="ru-RU"/>
        </w:rPr>
        <w:t>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поселения Хабаровского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03.08.2017 №53-146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Описание</w:t>
      </w:r>
    </w:p>
    <w:p>
      <w:pPr>
        <w:rPr/>
      </w:pPr>
    </w:p>
    <w:p>
      <w:pPr>
        <w:rPr/>
      </w:pPr>
      <w:r>
        <w:t xml:space="preserve"> границ территории, на которой осуществляется территориальное общественное самоуправление «Миряне»</w:t>
      </w:r>
    </w:p>
    <w:p>
      <w:pPr>
        <w:rPr/>
      </w:pPr>
    </w:p>
    <w:p>
      <w:pPr>
        <w:rPr/>
      </w:pPr>
      <w:r>
        <w:t xml:space="preserve">         Деятельность территориального общественного самоуправления «Миряне» осуществлять в границах Мирненского сельского поселения Хабаровского муниципального района Хабаровского края, осуществляется в границах улиц: с. Мирное, д. 22, 23 ул.Рабочая</w:t>
      </w:r>
    </w:p>
    <w:p>
      <w:pPr>
        <w:rPr/>
      </w:pPr>
    </w:p>
    <w:p>
      <w:r>
        <w:rPr/>
        <w:drawing xmlns:mc="http://schemas.openxmlformats.org/markup-compatibility/2006">
          <wp:inline>
            <wp:extent cx="5067300" cy="62198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>
                      <a:picLocks noGrp="0" noSelect="0" noChangeAspect="1" noMove="0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621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