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500" w:right="0" w:firstLine="0"/>
        <w:jc w:val="center"/>
        <w:rPr>
          <w:rFonts w:ascii="arial"/>
          <w:color w:val="000000"/>
          <w:sz w:val="20"/>
          <w:lang w:val="en-US"/>
        </w:rPr>
      </w:pPr>
      <w:r>
        <w:rPr>
          <w:rFonts w:ascii="helvetica"/>
          <w:b/>
          <w:color w:val="000000"/>
          <w:sz w:val="24"/>
          <w:rtl w:val="off"/>
          <w:lang w:val="en-US"/>
        </w:rPr>
        <w:t>«Правовой статус организатора публичного мероприятия,</w:t>
      </w:r>
      <w:r>
        <w:rPr>
          <w:rFonts w:ascii="helvetica"/>
          <w:b/>
          <w:color w:val="000000"/>
          <w:sz w:val="24"/>
          <w:rtl w:val="off"/>
          <w:lang w:val="en-US"/>
        </w:rPr>
        <w:t>его ответственность»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Публичное мероприятие -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Российской Федерации, политических партий, других общественных объединений и религиозных объединений, в том числе с использованием транспортных средств. Целью публичного мероприятия является свободное выражение и формирование мнений, выдвижение требований по различным вопросам политической, экономической, социальной и культурной жизни страны и вопросам внешней политики или информирование избирателей о своей деятельности при встрече депутата законодательного (представительного) органа государственной власти, депутата представительного органа муниципального образования с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Митинг -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общественно-политического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Организатором публичного мероприятия могут быть один или несколько граждан Российской Федерации (организатором демонстраций, шествий и пикетирований - гражданин Российской Федерации, достигший возраста 18 лет, митингов и собраний - 16 лет), политические партии, другие общественные объединения и религиозные объединения, их региональные отделения и иные структурные подразделения, взявшие на себя обязательство по организации и проведению публичного мероприятия. Организатор публичного мероприятия обязан в том числе: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обеспечивать          соблюдение условий                   проведения         публичного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left"/>
        <w:rPr>
          <w:rFonts w:ascii="helvetica"/>
          <w:color w:val="000000"/>
          <w:sz w:val="24"/>
          <w:lang w:val="en-US"/>
        </w:rPr>
      </w:pPr>
      <w:r>
        <w:rPr>
          <w:rFonts w:ascii="helvetica"/>
          <w:color w:val="000000"/>
          <w:sz w:val="24"/>
          <w:rtl w:val="off"/>
          <w:lang w:val="en-US"/>
        </w:rPr>
        <w:t>мероприятия, указанных в уведомлении о проведении публичного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требовать от участников публичного мероприятия соблюдения общественного порядка и регламента проведения публичного мероприятия, прекращения нарушения закона;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обеспечивать в пределах своей компетенции общественный порядок и безопасность  граждан при проведении публичного мероприятияб)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left"/>
        <w:rPr>
          <w:rFonts w:ascii="helvetica"/>
          <w:color w:val="000000"/>
          <w:sz w:val="24"/>
          <w:lang w:val="en-US"/>
        </w:rPr>
      </w:pPr>
      <w:r>
        <w:rPr>
          <w:rFonts w:ascii="helvetica"/>
          <w:color w:val="000000"/>
          <w:sz w:val="24"/>
          <w:rtl w:val="off"/>
          <w:lang w:val="en-US"/>
        </w:rPr>
        <w:t>приостанавливать публичное мероприятие или прекращать его в случае совершения его участниками противоправных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685"/>
        <w:jc w:val="left"/>
        <w:rPr>
          <w:rFonts w:ascii="helvetica"/>
          <w:color w:val="000000"/>
          <w:sz w:val="24"/>
          <w:lang w:val="en-US"/>
        </w:rPr>
      </w:pPr>
      <w:r>
        <w:rPr>
          <w:rFonts w:ascii="helvetica"/>
          <w:color w:val="000000"/>
          <w:sz w:val="24"/>
          <w:rtl w:val="off"/>
          <w:lang w:val="en-US"/>
        </w:rPr>
        <w:t>обеспечивать сохранность зеленых насаждений, помещений, зданий, строений, сооружений, оборудования, мебели, инвентаря и другого имущества в месте проведения публичного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262" w:line="240" w:lineRule="auto"/>
        <w:ind w:left="5160" w:right="0" w:firstLine="0"/>
        <w:jc w:val="left"/>
        <w:rPr>
          <w:rFonts w:ascii="helvetica"/>
          <w:color w:val="000000"/>
          <w:sz w:val="24"/>
          <w:lang w:val="en-US"/>
        </w:rPr>
      </w:pPr>
      <w:r>
        <w:rPr>
          <w:rFonts w:ascii="helvetica"/>
          <w:color w:val="000000"/>
          <w:sz w:val="24"/>
          <w:rtl w:val="off"/>
          <w:lang w:val="en-US"/>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20" w:right="0" w:firstLine="710"/>
        <w:jc w:val="left"/>
        <w:rPr>
          <w:rFonts w:ascii="helvetica"/>
          <w:color w:val="000000"/>
          <w:sz w:val="24"/>
          <w:lang w:val="en-US"/>
        </w:rPr>
      </w:pPr>
      <w:r>
        <w:rPr>
          <w:rFonts w:ascii="helvetica"/>
          <w:color w:val="000000"/>
          <w:sz w:val="24"/>
          <w:rtl w:val="off"/>
          <w:lang w:val="en-US"/>
        </w:rPr>
        <w:t>требовать от участников публичного мероприятия не скрывать свое лицо, в том числе не использовать маски, средства маскировки, иные предметы, специально предназначенные для затруднения установления личности. Лица, не подчинившиеся законным требованиям организатора публичного мероприятия, могут быть удалены с места проведения данного публичного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20" w:right="0" w:firstLine="710"/>
        <w:jc w:val="left"/>
        <w:rPr>
          <w:rFonts w:ascii="helvetica"/>
          <w:color w:val="000000"/>
          <w:sz w:val="24"/>
          <w:lang w:val="en-US"/>
        </w:rPr>
      </w:pPr>
      <w:r>
        <w:rPr>
          <w:rFonts w:ascii="helvetica"/>
          <w:color w:val="000000"/>
          <w:sz w:val="24"/>
          <w:rtl w:val="off"/>
          <w:lang w:val="en-US"/>
        </w:rPr>
        <w:t>Организатор публичного мероприятия в случае неисполнения им обязанностей несет гражданско-правовую ответственность за вред, причиненный участниками публичного мероприятия. Возмещение вреда осуществляется в порядке гражданского судопроизводства.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20" w:right="0" w:firstLine="710"/>
        <w:jc w:val="left"/>
        <w:rPr>
          <w:rFonts w:ascii="helvetica"/>
          <w:color w:val="000000"/>
          <w:sz w:val="24"/>
          <w:lang w:val="en-US"/>
        </w:rPr>
      </w:pPr>
      <w:r>
        <w:rPr>
          <w:rFonts w:ascii="helvetica"/>
          <w:color w:val="000000"/>
          <w:sz w:val="24"/>
          <w:rtl w:val="off"/>
          <w:lang w:val="en-US"/>
        </w:rPr>
        <w:t>Нарушение организатором публичного мероприятия установленного порядка организации либо проведения публичного мероприятия влечет привлечение виновного лица к административной ответственности по ч. 1 ст. 20.4 КоАП РФ в виде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20" w:right="0" w:firstLine="710"/>
        <w:jc w:val="left"/>
        <w:rPr>
          <w:rFonts w:ascii="helvetica"/>
          <w:color w:val="000000"/>
          <w:sz w:val="24"/>
          <w:lang w:val="en-US"/>
        </w:rPr>
      </w:pPr>
      <w:r>
        <w:rPr>
          <w:rFonts w:ascii="helvetica"/>
          <w:color w:val="000000"/>
          <w:sz w:val="24"/>
          <w:rtl w:val="off"/>
          <w:lang w:val="en-US"/>
        </w:rPr>
        <w:t>Вовлечение несовершеннолетнего в участие в несанкционированном публичном мероприятии, если это действие не содержит уголовно наказуемого деяния, влечет привлечение виновного лица к административной ответственности по ч. 1.1 ст. 20.2 КоАП РФ в виде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20" w:right="0" w:firstLine="710"/>
        <w:jc w:val="left"/>
        <w:rPr>
          <w:rFonts w:ascii="helvetica"/>
          <w:color w:val="000000"/>
          <w:sz w:val="24"/>
          <w:lang w:val="en-US"/>
        </w:rPr>
      </w:pPr>
      <w:r>
        <w:rPr>
          <w:rFonts w:ascii="helvetica"/>
          <w:color w:val="000000"/>
          <w:sz w:val="24"/>
          <w:rtl w:val="off"/>
          <w:lang w:val="en-US"/>
        </w:rPr>
        <w:t>Нарушение установленного порядка организации либо проведения публичного мероприятия, если это деяние совершено неоднократно, влечет привлечение виновного лица к уголовной ответственности но ст. 212.1 Уголовного кодекса РФ и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